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9D" w:rsidRPr="0071520F" w:rsidRDefault="00FC459D" w:rsidP="006E2678">
      <w:pPr>
        <w:tabs>
          <w:tab w:val="left" w:pos="851"/>
        </w:tabs>
        <w:autoSpaceDE w:val="0"/>
        <w:autoSpaceDN w:val="0"/>
        <w:adjustRightInd w:val="0"/>
        <w:jc w:val="center"/>
        <w:rPr>
          <w:b/>
          <w:bCs/>
          <w:sz w:val="32"/>
          <w:szCs w:val="32"/>
        </w:rPr>
      </w:pPr>
      <w:r w:rsidRPr="0071520F">
        <w:rPr>
          <w:noProof/>
          <w:lang w:eastAsia="cs-CZ" w:bidi="ar-SA"/>
        </w:rPr>
        <w:drawing>
          <wp:inline distT="0" distB="0" distL="0" distR="0">
            <wp:extent cx="2105247" cy="701749"/>
            <wp:effectExtent l="19050" t="0" r="9303" b="0"/>
            <wp:docPr id="3" name="obrázek 1" descr="http://www.muniss.cz/files/images/logo_mun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iss.cz/files/images/logo_muniss.png"/>
                    <pic:cNvPicPr>
                      <a:picLocks noChangeAspect="1" noChangeArrowheads="1"/>
                    </pic:cNvPicPr>
                  </pic:nvPicPr>
                  <pic:blipFill>
                    <a:blip r:embed="rId8" cstate="print"/>
                    <a:srcRect/>
                    <a:stretch>
                      <a:fillRect/>
                    </a:stretch>
                  </pic:blipFill>
                  <pic:spPr bwMode="auto">
                    <a:xfrm>
                      <a:off x="0" y="0"/>
                      <a:ext cx="2120151" cy="706717"/>
                    </a:xfrm>
                    <a:prstGeom prst="rect">
                      <a:avLst/>
                    </a:prstGeom>
                    <a:noFill/>
                    <a:ln w="9525">
                      <a:noFill/>
                      <a:miter lim="800000"/>
                      <a:headEnd/>
                      <a:tailEnd/>
                    </a:ln>
                  </pic:spPr>
                </pic:pic>
              </a:graphicData>
            </a:graphic>
          </wp:inline>
        </w:drawing>
      </w:r>
    </w:p>
    <w:p w:rsidR="00FC459D" w:rsidRPr="0071520F" w:rsidRDefault="00FC459D" w:rsidP="007A43A7">
      <w:pPr>
        <w:tabs>
          <w:tab w:val="left" w:pos="851"/>
        </w:tabs>
        <w:autoSpaceDE w:val="0"/>
        <w:autoSpaceDN w:val="0"/>
        <w:adjustRightInd w:val="0"/>
        <w:rPr>
          <w:rFonts w:eastAsia="Times New Roman"/>
          <w:sz w:val="36"/>
          <w:u w:val="single"/>
        </w:rPr>
      </w:pPr>
    </w:p>
    <w:p w:rsidR="00FC459D" w:rsidRDefault="00FC459D" w:rsidP="007A43A7">
      <w:pPr>
        <w:tabs>
          <w:tab w:val="left" w:pos="851"/>
        </w:tabs>
        <w:autoSpaceDE w:val="0"/>
        <w:autoSpaceDN w:val="0"/>
        <w:adjustRightInd w:val="0"/>
        <w:rPr>
          <w:rFonts w:eastAsia="Times New Roman"/>
          <w:sz w:val="72"/>
          <w:u w:val="single"/>
        </w:rPr>
      </w:pPr>
    </w:p>
    <w:p w:rsidR="00D56EF6" w:rsidRPr="0071520F" w:rsidRDefault="00D56EF6" w:rsidP="007A43A7">
      <w:pPr>
        <w:tabs>
          <w:tab w:val="left" w:pos="851"/>
        </w:tabs>
        <w:autoSpaceDE w:val="0"/>
        <w:autoSpaceDN w:val="0"/>
        <w:adjustRightInd w:val="0"/>
        <w:rPr>
          <w:rFonts w:eastAsia="Times New Roman"/>
          <w:sz w:val="72"/>
          <w:u w:val="single"/>
        </w:rPr>
      </w:pPr>
    </w:p>
    <w:p w:rsidR="00FC459D" w:rsidRPr="0071520F" w:rsidRDefault="00FC459D" w:rsidP="006E2678">
      <w:pPr>
        <w:tabs>
          <w:tab w:val="left" w:pos="851"/>
        </w:tabs>
        <w:autoSpaceDE w:val="0"/>
        <w:autoSpaceDN w:val="0"/>
        <w:adjustRightInd w:val="0"/>
        <w:jc w:val="center"/>
        <w:rPr>
          <w:b/>
          <w:sz w:val="144"/>
          <w:szCs w:val="36"/>
          <w:u w:val="single"/>
        </w:rPr>
      </w:pPr>
      <w:r w:rsidRPr="0071520F">
        <w:rPr>
          <w:rFonts w:eastAsia="Times New Roman"/>
          <w:b/>
          <w:sz w:val="56"/>
          <w:u w:val="single"/>
        </w:rPr>
        <w:t>Evaluace Strategie pro Brno za roky 2007-2014</w:t>
      </w:r>
    </w:p>
    <w:p w:rsidR="00FC459D" w:rsidRPr="0071520F" w:rsidRDefault="00FC459D" w:rsidP="007A43A7">
      <w:pPr>
        <w:autoSpaceDE w:val="0"/>
        <w:autoSpaceDN w:val="0"/>
        <w:adjustRightInd w:val="0"/>
      </w:pPr>
    </w:p>
    <w:p w:rsidR="00FC459D" w:rsidRPr="0071520F" w:rsidRDefault="00FC459D" w:rsidP="007A43A7">
      <w:pPr>
        <w:autoSpaceDE w:val="0"/>
        <w:autoSpaceDN w:val="0"/>
        <w:adjustRightInd w:val="0"/>
      </w:pPr>
    </w:p>
    <w:p w:rsidR="00FC459D" w:rsidRPr="0071520F" w:rsidRDefault="00FC459D" w:rsidP="007A43A7">
      <w:pPr>
        <w:autoSpaceDE w:val="0"/>
        <w:autoSpaceDN w:val="0"/>
        <w:adjustRightInd w:val="0"/>
      </w:pPr>
      <w:r w:rsidRPr="0071520F">
        <w:tab/>
      </w:r>
      <w:r w:rsidRPr="0071520F">
        <w:tab/>
      </w:r>
    </w:p>
    <w:p w:rsidR="00D56EF6" w:rsidRDefault="00D56EF6" w:rsidP="007A43A7">
      <w:pPr>
        <w:autoSpaceDE w:val="0"/>
        <w:autoSpaceDN w:val="0"/>
        <w:adjustRightInd w:val="0"/>
      </w:pPr>
    </w:p>
    <w:p w:rsidR="00D56EF6" w:rsidRDefault="00D56EF6" w:rsidP="007A43A7">
      <w:pPr>
        <w:autoSpaceDE w:val="0"/>
        <w:autoSpaceDN w:val="0"/>
        <w:adjustRightInd w:val="0"/>
      </w:pPr>
    </w:p>
    <w:p w:rsidR="00D56EF6" w:rsidRPr="0071520F" w:rsidRDefault="00D56EF6" w:rsidP="007A43A7">
      <w:pPr>
        <w:autoSpaceDE w:val="0"/>
        <w:autoSpaceDN w:val="0"/>
        <w:adjustRightInd w:val="0"/>
      </w:pPr>
    </w:p>
    <w:p w:rsidR="00FC459D" w:rsidRPr="0071520F" w:rsidRDefault="00FC459D" w:rsidP="007A43A7">
      <w:pPr>
        <w:autoSpaceDE w:val="0"/>
        <w:autoSpaceDN w:val="0"/>
        <w:adjustRightInd w:val="0"/>
      </w:pPr>
    </w:p>
    <w:p w:rsidR="00FC459D" w:rsidRPr="0071520F" w:rsidRDefault="00FC459D" w:rsidP="007A43A7">
      <w:pPr>
        <w:autoSpaceDE w:val="0"/>
        <w:autoSpaceDN w:val="0"/>
        <w:adjustRightInd w:val="0"/>
      </w:pPr>
    </w:p>
    <w:p w:rsidR="00FC459D" w:rsidRDefault="00FC459D" w:rsidP="007A43A7">
      <w:pPr>
        <w:autoSpaceDE w:val="0"/>
        <w:autoSpaceDN w:val="0"/>
        <w:adjustRightInd w:val="0"/>
      </w:pPr>
    </w:p>
    <w:p w:rsidR="00D56EF6" w:rsidRPr="0071520F" w:rsidRDefault="00D56EF6" w:rsidP="007A43A7">
      <w:pPr>
        <w:autoSpaceDE w:val="0"/>
        <w:autoSpaceDN w:val="0"/>
        <w:adjustRightInd w:val="0"/>
      </w:pPr>
    </w:p>
    <w:p w:rsidR="00FC459D" w:rsidRPr="0071520F" w:rsidRDefault="00FC459D" w:rsidP="007A43A7">
      <w:pPr>
        <w:autoSpaceDE w:val="0"/>
        <w:autoSpaceDN w:val="0"/>
        <w:adjustRightInd w:val="0"/>
      </w:pPr>
    </w:p>
    <w:p w:rsidR="005B0ADF" w:rsidRPr="0071520F" w:rsidRDefault="005B0ADF" w:rsidP="007A43A7">
      <w:pPr>
        <w:autoSpaceDE w:val="0"/>
        <w:autoSpaceDN w:val="0"/>
        <w:adjustRightInd w:val="0"/>
      </w:pPr>
      <w:r w:rsidRPr="0071520F">
        <w:t>Ondřej Puczok</w:t>
      </w:r>
    </w:p>
    <w:p w:rsidR="005B0ADF" w:rsidRPr="0071520F" w:rsidRDefault="005B0ADF" w:rsidP="007A43A7">
      <w:pPr>
        <w:autoSpaceDE w:val="0"/>
        <w:autoSpaceDN w:val="0"/>
        <w:adjustRightInd w:val="0"/>
      </w:pPr>
      <w:r w:rsidRPr="0071520F">
        <w:t>Marika Doubravová</w:t>
      </w:r>
    </w:p>
    <w:p w:rsidR="00FC459D" w:rsidRPr="0071520F" w:rsidRDefault="00FC459D" w:rsidP="007A43A7">
      <w:pPr>
        <w:autoSpaceDE w:val="0"/>
        <w:autoSpaceDN w:val="0"/>
        <w:adjustRightInd w:val="0"/>
      </w:pPr>
      <w:r w:rsidRPr="0071520F">
        <w:t>Veronika Batelková</w:t>
      </w:r>
    </w:p>
    <w:p w:rsidR="00FC459D" w:rsidRPr="0071520F" w:rsidRDefault="00FC459D" w:rsidP="007A43A7">
      <w:pPr>
        <w:autoSpaceDE w:val="0"/>
        <w:autoSpaceDN w:val="0"/>
        <w:adjustRightInd w:val="0"/>
        <w:rPr>
          <w:sz w:val="22"/>
        </w:rPr>
      </w:pPr>
    </w:p>
    <w:p w:rsidR="00E65CC7" w:rsidRDefault="00E65CC7" w:rsidP="007A43A7">
      <w:pPr>
        <w:autoSpaceDE w:val="0"/>
        <w:autoSpaceDN w:val="0"/>
        <w:adjustRightInd w:val="0"/>
        <w:rPr>
          <w:sz w:val="22"/>
        </w:rPr>
      </w:pPr>
    </w:p>
    <w:p w:rsidR="00E65CC7" w:rsidRPr="0071520F" w:rsidRDefault="00E65CC7" w:rsidP="007A43A7">
      <w:pPr>
        <w:autoSpaceDE w:val="0"/>
        <w:autoSpaceDN w:val="0"/>
        <w:adjustRightInd w:val="0"/>
        <w:rPr>
          <w:sz w:val="22"/>
        </w:rPr>
      </w:pPr>
    </w:p>
    <w:p w:rsidR="00FC459D" w:rsidRPr="0071520F" w:rsidRDefault="00FC459D" w:rsidP="007A43A7">
      <w:pPr>
        <w:autoSpaceDE w:val="0"/>
        <w:autoSpaceDN w:val="0"/>
        <w:adjustRightInd w:val="0"/>
        <w:rPr>
          <w:sz w:val="22"/>
        </w:rPr>
      </w:pPr>
    </w:p>
    <w:p w:rsidR="00E65CC7" w:rsidRDefault="00FC459D" w:rsidP="00E65CC7">
      <w:pPr>
        <w:autoSpaceDE w:val="0"/>
        <w:autoSpaceDN w:val="0"/>
        <w:adjustRightInd w:val="0"/>
        <w:jc w:val="right"/>
      </w:pPr>
      <w:r w:rsidRPr="0071520F">
        <w:t>V Brně, 8. 12. 2014</w:t>
      </w:r>
    </w:p>
    <w:sdt>
      <w:sdtPr>
        <w:rPr>
          <w:rFonts w:ascii="Times New Roman" w:eastAsiaTheme="minorEastAsia" w:hAnsi="Times New Roman"/>
          <w:b w:val="0"/>
          <w:bCs w:val="0"/>
          <w:kern w:val="0"/>
          <w:sz w:val="24"/>
          <w:szCs w:val="24"/>
        </w:rPr>
        <w:id w:val="591995420"/>
        <w:docPartObj>
          <w:docPartGallery w:val="Table of Contents"/>
          <w:docPartUnique/>
        </w:docPartObj>
      </w:sdtPr>
      <w:sdtContent>
        <w:p w:rsidR="00D56EF6" w:rsidRDefault="00D56EF6" w:rsidP="00D56EF6">
          <w:pPr>
            <w:pStyle w:val="Nadpisobsahu"/>
            <w:spacing w:line="276" w:lineRule="auto"/>
          </w:pPr>
          <w:r>
            <w:t>Obsah</w:t>
          </w:r>
        </w:p>
        <w:p w:rsidR="003A5C4E" w:rsidRDefault="001776F9">
          <w:pPr>
            <w:pStyle w:val="Obsah1"/>
            <w:rPr>
              <w:rFonts w:asciiTheme="minorHAnsi" w:hAnsiTheme="minorHAnsi" w:cstheme="minorBidi"/>
              <w:noProof/>
              <w:sz w:val="22"/>
              <w:szCs w:val="22"/>
              <w:lang w:eastAsia="cs-CZ" w:bidi="ar-SA"/>
            </w:rPr>
          </w:pPr>
          <w:r>
            <w:fldChar w:fldCharType="begin"/>
          </w:r>
          <w:r w:rsidR="00D56EF6">
            <w:instrText xml:space="preserve"> TOC \o "1-3" \h \z \u </w:instrText>
          </w:r>
          <w:r>
            <w:fldChar w:fldCharType="separate"/>
          </w:r>
          <w:hyperlink w:anchor="_Toc410160003" w:history="1">
            <w:r w:rsidR="003A5C4E" w:rsidRPr="00984D72">
              <w:rPr>
                <w:rStyle w:val="Hypertextovodkaz"/>
                <w:noProof/>
              </w:rPr>
              <w:t>1.</w:t>
            </w:r>
            <w:r w:rsidR="003A5C4E">
              <w:rPr>
                <w:rFonts w:asciiTheme="minorHAnsi" w:hAnsiTheme="minorHAnsi" w:cstheme="minorBidi"/>
                <w:noProof/>
                <w:sz w:val="22"/>
                <w:szCs w:val="22"/>
                <w:lang w:eastAsia="cs-CZ" w:bidi="ar-SA"/>
              </w:rPr>
              <w:tab/>
            </w:r>
            <w:r w:rsidR="003A5C4E" w:rsidRPr="00984D72">
              <w:rPr>
                <w:rStyle w:val="Hypertextovodkaz"/>
                <w:noProof/>
              </w:rPr>
              <w:t>Úvod</w:t>
            </w:r>
            <w:r w:rsidR="003A5C4E">
              <w:rPr>
                <w:noProof/>
                <w:webHidden/>
              </w:rPr>
              <w:tab/>
            </w:r>
            <w:r w:rsidR="003A5C4E">
              <w:rPr>
                <w:noProof/>
                <w:webHidden/>
              </w:rPr>
              <w:fldChar w:fldCharType="begin"/>
            </w:r>
            <w:r w:rsidR="003A5C4E">
              <w:rPr>
                <w:noProof/>
                <w:webHidden/>
              </w:rPr>
              <w:instrText xml:space="preserve"> PAGEREF _Toc410160003 \h </w:instrText>
            </w:r>
            <w:r w:rsidR="003A5C4E">
              <w:rPr>
                <w:noProof/>
                <w:webHidden/>
              </w:rPr>
            </w:r>
            <w:r w:rsidR="003A5C4E">
              <w:rPr>
                <w:noProof/>
                <w:webHidden/>
              </w:rPr>
              <w:fldChar w:fldCharType="separate"/>
            </w:r>
            <w:r w:rsidR="003A5C4E">
              <w:rPr>
                <w:noProof/>
                <w:webHidden/>
              </w:rPr>
              <w:t>3</w:t>
            </w:r>
            <w:r w:rsidR="003A5C4E">
              <w:rPr>
                <w:noProof/>
                <w:webHidden/>
              </w:rPr>
              <w:fldChar w:fldCharType="end"/>
            </w:r>
          </w:hyperlink>
        </w:p>
        <w:p w:rsidR="003A5C4E" w:rsidRDefault="003A5C4E">
          <w:pPr>
            <w:pStyle w:val="Obsah1"/>
            <w:rPr>
              <w:rFonts w:asciiTheme="minorHAnsi" w:hAnsiTheme="minorHAnsi" w:cstheme="minorBidi"/>
              <w:noProof/>
              <w:sz w:val="22"/>
              <w:szCs w:val="22"/>
              <w:lang w:eastAsia="cs-CZ" w:bidi="ar-SA"/>
            </w:rPr>
          </w:pPr>
          <w:hyperlink w:anchor="_Toc410160004" w:history="1">
            <w:r w:rsidRPr="00984D72">
              <w:rPr>
                <w:rStyle w:val="Hypertextovodkaz"/>
                <w:noProof/>
              </w:rPr>
              <w:t>2.</w:t>
            </w:r>
            <w:r>
              <w:rPr>
                <w:rFonts w:asciiTheme="minorHAnsi" w:hAnsiTheme="minorHAnsi" w:cstheme="minorBidi"/>
                <w:noProof/>
                <w:sz w:val="22"/>
                <w:szCs w:val="22"/>
                <w:lang w:eastAsia="cs-CZ" w:bidi="ar-SA"/>
              </w:rPr>
              <w:tab/>
            </w:r>
            <w:r w:rsidRPr="00984D72">
              <w:rPr>
                <w:rStyle w:val="Hypertextovodkaz"/>
                <w:noProof/>
              </w:rPr>
              <w:t>Metodologie</w:t>
            </w:r>
            <w:r>
              <w:rPr>
                <w:noProof/>
                <w:webHidden/>
              </w:rPr>
              <w:tab/>
            </w:r>
            <w:r>
              <w:rPr>
                <w:noProof/>
                <w:webHidden/>
              </w:rPr>
              <w:fldChar w:fldCharType="begin"/>
            </w:r>
            <w:r>
              <w:rPr>
                <w:noProof/>
                <w:webHidden/>
              </w:rPr>
              <w:instrText xml:space="preserve"> PAGEREF _Toc410160004 \h </w:instrText>
            </w:r>
            <w:r>
              <w:rPr>
                <w:noProof/>
                <w:webHidden/>
              </w:rPr>
            </w:r>
            <w:r>
              <w:rPr>
                <w:noProof/>
                <w:webHidden/>
              </w:rPr>
              <w:fldChar w:fldCharType="separate"/>
            </w:r>
            <w:r>
              <w:rPr>
                <w:noProof/>
                <w:webHidden/>
              </w:rPr>
              <w:t>4</w:t>
            </w:r>
            <w:r>
              <w:rPr>
                <w:noProof/>
                <w:webHidden/>
              </w:rPr>
              <w:fldChar w:fldCharType="end"/>
            </w:r>
          </w:hyperlink>
        </w:p>
        <w:p w:rsidR="003A5C4E" w:rsidRDefault="003A5C4E">
          <w:pPr>
            <w:pStyle w:val="Obsah1"/>
            <w:rPr>
              <w:rFonts w:asciiTheme="minorHAnsi" w:hAnsiTheme="minorHAnsi" w:cstheme="minorBidi"/>
              <w:noProof/>
              <w:sz w:val="22"/>
              <w:szCs w:val="22"/>
              <w:lang w:eastAsia="cs-CZ" w:bidi="ar-SA"/>
            </w:rPr>
          </w:pPr>
          <w:hyperlink w:anchor="_Toc410160005" w:history="1">
            <w:r w:rsidRPr="00984D72">
              <w:rPr>
                <w:rStyle w:val="Hypertextovodkaz"/>
                <w:noProof/>
              </w:rPr>
              <w:t>3.</w:t>
            </w:r>
            <w:r>
              <w:rPr>
                <w:rFonts w:asciiTheme="minorHAnsi" w:hAnsiTheme="minorHAnsi" w:cstheme="minorBidi"/>
                <w:noProof/>
                <w:sz w:val="22"/>
                <w:szCs w:val="22"/>
                <w:lang w:eastAsia="cs-CZ" w:bidi="ar-SA"/>
              </w:rPr>
              <w:tab/>
            </w:r>
            <w:r w:rsidRPr="00984D72">
              <w:rPr>
                <w:rStyle w:val="Hypertextovodkaz"/>
                <w:noProof/>
              </w:rPr>
              <w:t>Analýza</w:t>
            </w:r>
            <w:r>
              <w:rPr>
                <w:noProof/>
                <w:webHidden/>
              </w:rPr>
              <w:tab/>
            </w:r>
            <w:r>
              <w:rPr>
                <w:noProof/>
                <w:webHidden/>
              </w:rPr>
              <w:fldChar w:fldCharType="begin"/>
            </w:r>
            <w:r>
              <w:rPr>
                <w:noProof/>
                <w:webHidden/>
              </w:rPr>
              <w:instrText xml:space="preserve"> PAGEREF _Toc410160005 \h </w:instrText>
            </w:r>
            <w:r>
              <w:rPr>
                <w:noProof/>
                <w:webHidden/>
              </w:rPr>
            </w:r>
            <w:r>
              <w:rPr>
                <w:noProof/>
                <w:webHidden/>
              </w:rPr>
              <w:fldChar w:fldCharType="separate"/>
            </w:r>
            <w:r>
              <w:rPr>
                <w:noProof/>
                <w:webHidden/>
              </w:rPr>
              <w:t>7</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06" w:history="1">
            <w:r w:rsidRPr="00984D72">
              <w:rPr>
                <w:rStyle w:val="Hypertextovodkaz"/>
                <w:noProof/>
              </w:rPr>
              <w:t>3.1.</w:t>
            </w:r>
            <w:r>
              <w:rPr>
                <w:rFonts w:asciiTheme="minorHAnsi" w:hAnsiTheme="minorHAnsi" w:cstheme="minorBidi"/>
                <w:noProof/>
                <w:sz w:val="22"/>
                <w:szCs w:val="22"/>
                <w:lang w:eastAsia="cs-CZ" w:bidi="ar-SA"/>
              </w:rPr>
              <w:tab/>
            </w:r>
            <w:r w:rsidRPr="00984D72">
              <w:rPr>
                <w:rStyle w:val="Hypertextovodkaz"/>
                <w:noProof/>
              </w:rPr>
              <w:t>Priorita 1: Image města a vnitřní / vnější vztahy</w:t>
            </w:r>
            <w:r>
              <w:rPr>
                <w:noProof/>
                <w:webHidden/>
              </w:rPr>
              <w:tab/>
            </w:r>
            <w:r>
              <w:rPr>
                <w:noProof/>
                <w:webHidden/>
              </w:rPr>
              <w:fldChar w:fldCharType="begin"/>
            </w:r>
            <w:r>
              <w:rPr>
                <w:noProof/>
                <w:webHidden/>
              </w:rPr>
              <w:instrText xml:space="preserve"> PAGEREF _Toc410160006 \h </w:instrText>
            </w:r>
            <w:r>
              <w:rPr>
                <w:noProof/>
                <w:webHidden/>
              </w:rPr>
            </w:r>
            <w:r>
              <w:rPr>
                <w:noProof/>
                <w:webHidden/>
              </w:rPr>
              <w:fldChar w:fldCharType="separate"/>
            </w:r>
            <w:r>
              <w:rPr>
                <w:noProof/>
                <w:webHidden/>
              </w:rPr>
              <w:t>7</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07" w:history="1">
            <w:r w:rsidRPr="00984D72">
              <w:rPr>
                <w:rStyle w:val="Hypertextovodkaz"/>
                <w:noProof/>
              </w:rPr>
              <w:t>3.2.</w:t>
            </w:r>
            <w:r>
              <w:rPr>
                <w:rFonts w:asciiTheme="minorHAnsi" w:hAnsiTheme="minorHAnsi" w:cstheme="minorBidi"/>
                <w:noProof/>
                <w:sz w:val="22"/>
                <w:szCs w:val="22"/>
                <w:lang w:eastAsia="cs-CZ" w:bidi="ar-SA"/>
              </w:rPr>
              <w:tab/>
            </w:r>
            <w:r w:rsidRPr="00984D72">
              <w:rPr>
                <w:rStyle w:val="Hypertextovodkaz"/>
                <w:noProof/>
              </w:rPr>
              <w:t>Priorita 2: Místní ekonomický rozvoj</w:t>
            </w:r>
            <w:r>
              <w:rPr>
                <w:noProof/>
                <w:webHidden/>
              </w:rPr>
              <w:tab/>
            </w:r>
            <w:r>
              <w:rPr>
                <w:noProof/>
                <w:webHidden/>
              </w:rPr>
              <w:fldChar w:fldCharType="begin"/>
            </w:r>
            <w:r>
              <w:rPr>
                <w:noProof/>
                <w:webHidden/>
              </w:rPr>
              <w:instrText xml:space="preserve"> PAGEREF _Toc410160007 \h </w:instrText>
            </w:r>
            <w:r>
              <w:rPr>
                <w:noProof/>
                <w:webHidden/>
              </w:rPr>
            </w:r>
            <w:r>
              <w:rPr>
                <w:noProof/>
                <w:webHidden/>
              </w:rPr>
              <w:fldChar w:fldCharType="separate"/>
            </w:r>
            <w:r>
              <w:rPr>
                <w:noProof/>
                <w:webHidden/>
              </w:rPr>
              <w:t>8</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08" w:history="1">
            <w:r w:rsidRPr="00984D72">
              <w:rPr>
                <w:rStyle w:val="Hypertextovodkaz"/>
                <w:noProof/>
              </w:rPr>
              <w:t>3.3.</w:t>
            </w:r>
            <w:r>
              <w:rPr>
                <w:rFonts w:asciiTheme="minorHAnsi" w:hAnsiTheme="minorHAnsi" w:cstheme="minorBidi"/>
                <w:noProof/>
                <w:sz w:val="22"/>
                <w:szCs w:val="22"/>
                <w:lang w:eastAsia="cs-CZ" w:bidi="ar-SA"/>
              </w:rPr>
              <w:tab/>
            </w:r>
            <w:r w:rsidRPr="00984D72">
              <w:rPr>
                <w:rStyle w:val="Hypertextovodkaz"/>
                <w:noProof/>
              </w:rPr>
              <w:t>Priorita 3: Kvalita života</w:t>
            </w:r>
            <w:r>
              <w:rPr>
                <w:noProof/>
                <w:webHidden/>
              </w:rPr>
              <w:tab/>
            </w:r>
            <w:r>
              <w:rPr>
                <w:noProof/>
                <w:webHidden/>
              </w:rPr>
              <w:fldChar w:fldCharType="begin"/>
            </w:r>
            <w:r>
              <w:rPr>
                <w:noProof/>
                <w:webHidden/>
              </w:rPr>
              <w:instrText xml:space="preserve"> PAGEREF _Toc410160008 \h </w:instrText>
            </w:r>
            <w:r>
              <w:rPr>
                <w:noProof/>
                <w:webHidden/>
              </w:rPr>
            </w:r>
            <w:r>
              <w:rPr>
                <w:noProof/>
                <w:webHidden/>
              </w:rPr>
              <w:fldChar w:fldCharType="separate"/>
            </w:r>
            <w:r>
              <w:rPr>
                <w:noProof/>
                <w:webHidden/>
              </w:rPr>
              <w:t>9</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09" w:history="1">
            <w:r w:rsidRPr="00984D72">
              <w:rPr>
                <w:rStyle w:val="Hypertextovodkaz"/>
                <w:noProof/>
              </w:rPr>
              <w:t>3.4.</w:t>
            </w:r>
            <w:r>
              <w:rPr>
                <w:rFonts w:asciiTheme="minorHAnsi" w:hAnsiTheme="minorHAnsi" w:cstheme="minorBidi"/>
                <w:noProof/>
                <w:sz w:val="22"/>
                <w:szCs w:val="22"/>
                <w:lang w:eastAsia="cs-CZ" w:bidi="ar-SA"/>
              </w:rPr>
              <w:tab/>
            </w:r>
            <w:r w:rsidRPr="00984D72">
              <w:rPr>
                <w:rStyle w:val="Hypertextovodkaz"/>
                <w:noProof/>
              </w:rPr>
              <w:t>Priorita 4: Výzkum, vývoj, inovace a vzdělávání</w:t>
            </w:r>
            <w:r>
              <w:rPr>
                <w:noProof/>
                <w:webHidden/>
              </w:rPr>
              <w:tab/>
            </w:r>
            <w:r>
              <w:rPr>
                <w:noProof/>
                <w:webHidden/>
              </w:rPr>
              <w:fldChar w:fldCharType="begin"/>
            </w:r>
            <w:r>
              <w:rPr>
                <w:noProof/>
                <w:webHidden/>
              </w:rPr>
              <w:instrText xml:space="preserve"> PAGEREF _Toc410160009 \h </w:instrText>
            </w:r>
            <w:r>
              <w:rPr>
                <w:noProof/>
                <w:webHidden/>
              </w:rPr>
            </w:r>
            <w:r>
              <w:rPr>
                <w:noProof/>
                <w:webHidden/>
              </w:rPr>
              <w:fldChar w:fldCharType="separate"/>
            </w:r>
            <w:r>
              <w:rPr>
                <w:noProof/>
                <w:webHidden/>
              </w:rPr>
              <w:t>10</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10" w:history="1">
            <w:r w:rsidRPr="00984D72">
              <w:rPr>
                <w:rStyle w:val="Hypertextovodkaz"/>
                <w:noProof/>
              </w:rPr>
              <w:t>3.5.</w:t>
            </w:r>
            <w:r>
              <w:rPr>
                <w:rFonts w:asciiTheme="minorHAnsi" w:hAnsiTheme="minorHAnsi" w:cstheme="minorBidi"/>
                <w:noProof/>
                <w:sz w:val="22"/>
                <w:szCs w:val="22"/>
                <w:lang w:eastAsia="cs-CZ" w:bidi="ar-SA"/>
              </w:rPr>
              <w:tab/>
            </w:r>
            <w:r w:rsidRPr="00984D72">
              <w:rPr>
                <w:rStyle w:val="Hypertextovodkaz"/>
                <w:noProof/>
              </w:rPr>
              <w:t>Priorita 5: Doprava a technická infrastruktura</w:t>
            </w:r>
            <w:r>
              <w:rPr>
                <w:noProof/>
                <w:webHidden/>
              </w:rPr>
              <w:tab/>
            </w:r>
            <w:r>
              <w:rPr>
                <w:noProof/>
                <w:webHidden/>
              </w:rPr>
              <w:fldChar w:fldCharType="begin"/>
            </w:r>
            <w:r>
              <w:rPr>
                <w:noProof/>
                <w:webHidden/>
              </w:rPr>
              <w:instrText xml:space="preserve"> PAGEREF _Toc410160010 \h </w:instrText>
            </w:r>
            <w:r>
              <w:rPr>
                <w:noProof/>
                <w:webHidden/>
              </w:rPr>
            </w:r>
            <w:r>
              <w:rPr>
                <w:noProof/>
                <w:webHidden/>
              </w:rPr>
              <w:fldChar w:fldCharType="separate"/>
            </w:r>
            <w:r>
              <w:rPr>
                <w:noProof/>
                <w:webHidden/>
              </w:rPr>
              <w:t>11</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11" w:history="1">
            <w:r w:rsidRPr="00984D72">
              <w:rPr>
                <w:rStyle w:val="Hypertextovodkaz"/>
                <w:noProof/>
              </w:rPr>
              <w:t>3.6.</w:t>
            </w:r>
            <w:r>
              <w:rPr>
                <w:rFonts w:asciiTheme="minorHAnsi" w:hAnsiTheme="minorHAnsi" w:cstheme="minorBidi"/>
                <w:noProof/>
                <w:sz w:val="22"/>
                <w:szCs w:val="22"/>
                <w:lang w:eastAsia="cs-CZ" w:bidi="ar-SA"/>
              </w:rPr>
              <w:tab/>
            </w:r>
            <w:r w:rsidRPr="00984D72">
              <w:rPr>
                <w:rStyle w:val="Hypertextovodkaz"/>
                <w:noProof/>
              </w:rPr>
              <w:t>Shrnutí analýzy</w:t>
            </w:r>
            <w:r>
              <w:rPr>
                <w:noProof/>
                <w:webHidden/>
              </w:rPr>
              <w:tab/>
            </w:r>
            <w:r>
              <w:rPr>
                <w:noProof/>
                <w:webHidden/>
              </w:rPr>
              <w:fldChar w:fldCharType="begin"/>
            </w:r>
            <w:r>
              <w:rPr>
                <w:noProof/>
                <w:webHidden/>
              </w:rPr>
              <w:instrText xml:space="preserve"> PAGEREF _Toc410160011 \h </w:instrText>
            </w:r>
            <w:r>
              <w:rPr>
                <w:noProof/>
                <w:webHidden/>
              </w:rPr>
            </w:r>
            <w:r>
              <w:rPr>
                <w:noProof/>
                <w:webHidden/>
              </w:rPr>
              <w:fldChar w:fldCharType="separate"/>
            </w:r>
            <w:r>
              <w:rPr>
                <w:noProof/>
                <w:webHidden/>
              </w:rPr>
              <w:t>13</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12" w:history="1">
            <w:r w:rsidRPr="00984D72">
              <w:rPr>
                <w:rStyle w:val="Hypertextovodkaz"/>
                <w:noProof/>
              </w:rPr>
              <w:t>3.7.</w:t>
            </w:r>
            <w:r>
              <w:rPr>
                <w:rFonts w:asciiTheme="minorHAnsi" w:hAnsiTheme="minorHAnsi" w:cstheme="minorBidi"/>
                <w:noProof/>
                <w:sz w:val="22"/>
                <w:szCs w:val="22"/>
                <w:lang w:eastAsia="cs-CZ" w:bidi="ar-SA"/>
              </w:rPr>
              <w:tab/>
            </w:r>
            <w:r w:rsidRPr="00984D72">
              <w:rPr>
                <w:rStyle w:val="Hypertextovodkaz"/>
                <w:noProof/>
              </w:rPr>
              <w:t>Jednotlivé zdrojové tabulky</w:t>
            </w:r>
            <w:r>
              <w:rPr>
                <w:noProof/>
                <w:webHidden/>
              </w:rPr>
              <w:tab/>
            </w:r>
            <w:r>
              <w:rPr>
                <w:noProof/>
                <w:webHidden/>
              </w:rPr>
              <w:fldChar w:fldCharType="begin"/>
            </w:r>
            <w:r>
              <w:rPr>
                <w:noProof/>
                <w:webHidden/>
              </w:rPr>
              <w:instrText xml:space="preserve"> PAGEREF _Toc410160012 \h </w:instrText>
            </w:r>
            <w:r>
              <w:rPr>
                <w:noProof/>
                <w:webHidden/>
              </w:rPr>
            </w:r>
            <w:r>
              <w:rPr>
                <w:noProof/>
                <w:webHidden/>
              </w:rPr>
              <w:fldChar w:fldCharType="separate"/>
            </w:r>
            <w:r>
              <w:rPr>
                <w:noProof/>
                <w:webHidden/>
              </w:rPr>
              <w:t>13</w:t>
            </w:r>
            <w:r>
              <w:rPr>
                <w:noProof/>
                <w:webHidden/>
              </w:rPr>
              <w:fldChar w:fldCharType="end"/>
            </w:r>
          </w:hyperlink>
        </w:p>
        <w:p w:rsidR="003A5C4E" w:rsidRDefault="003A5C4E">
          <w:pPr>
            <w:pStyle w:val="Obsah3"/>
            <w:tabs>
              <w:tab w:val="left" w:pos="1320"/>
              <w:tab w:val="right" w:leader="dot" w:pos="9062"/>
            </w:tabs>
            <w:rPr>
              <w:rFonts w:asciiTheme="minorHAnsi" w:hAnsiTheme="minorHAnsi" w:cstheme="minorBidi"/>
              <w:noProof/>
              <w:sz w:val="22"/>
              <w:szCs w:val="22"/>
              <w:lang w:eastAsia="cs-CZ" w:bidi="ar-SA"/>
            </w:rPr>
          </w:pPr>
          <w:hyperlink w:anchor="_Toc410160013" w:history="1">
            <w:r w:rsidRPr="00984D72">
              <w:rPr>
                <w:rStyle w:val="Hypertextovodkaz"/>
                <w:noProof/>
              </w:rPr>
              <w:t>3.7.1.</w:t>
            </w:r>
            <w:r>
              <w:rPr>
                <w:rFonts w:asciiTheme="minorHAnsi" w:hAnsiTheme="minorHAnsi" w:cstheme="minorBidi"/>
                <w:noProof/>
                <w:sz w:val="22"/>
                <w:szCs w:val="22"/>
                <w:lang w:eastAsia="cs-CZ" w:bidi="ar-SA"/>
              </w:rPr>
              <w:tab/>
            </w:r>
            <w:r w:rsidRPr="00984D72">
              <w:rPr>
                <w:rStyle w:val="Hypertextovodkaz"/>
                <w:noProof/>
              </w:rPr>
              <w:t>Oddělení implementace evropských fondů MMB</w:t>
            </w:r>
            <w:r>
              <w:rPr>
                <w:noProof/>
                <w:webHidden/>
              </w:rPr>
              <w:tab/>
            </w:r>
            <w:r>
              <w:rPr>
                <w:noProof/>
                <w:webHidden/>
              </w:rPr>
              <w:fldChar w:fldCharType="begin"/>
            </w:r>
            <w:r>
              <w:rPr>
                <w:noProof/>
                <w:webHidden/>
              </w:rPr>
              <w:instrText xml:space="preserve"> PAGEREF _Toc410160013 \h </w:instrText>
            </w:r>
            <w:r>
              <w:rPr>
                <w:noProof/>
                <w:webHidden/>
              </w:rPr>
            </w:r>
            <w:r>
              <w:rPr>
                <w:noProof/>
                <w:webHidden/>
              </w:rPr>
              <w:fldChar w:fldCharType="separate"/>
            </w:r>
            <w:r>
              <w:rPr>
                <w:noProof/>
                <w:webHidden/>
              </w:rPr>
              <w:t>14</w:t>
            </w:r>
            <w:r>
              <w:rPr>
                <w:noProof/>
                <w:webHidden/>
              </w:rPr>
              <w:fldChar w:fldCharType="end"/>
            </w:r>
          </w:hyperlink>
        </w:p>
        <w:p w:rsidR="003A5C4E" w:rsidRDefault="003A5C4E">
          <w:pPr>
            <w:pStyle w:val="Obsah3"/>
            <w:tabs>
              <w:tab w:val="left" w:pos="1320"/>
              <w:tab w:val="right" w:leader="dot" w:pos="9062"/>
            </w:tabs>
            <w:rPr>
              <w:rFonts w:asciiTheme="minorHAnsi" w:hAnsiTheme="minorHAnsi" w:cstheme="minorBidi"/>
              <w:noProof/>
              <w:sz w:val="22"/>
              <w:szCs w:val="22"/>
              <w:lang w:eastAsia="cs-CZ" w:bidi="ar-SA"/>
            </w:rPr>
          </w:pPr>
          <w:hyperlink w:anchor="_Toc410160014" w:history="1">
            <w:r w:rsidRPr="00984D72">
              <w:rPr>
                <w:rStyle w:val="Hypertextovodkaz"/>
                <w:noProof/>
              </w:rPr>
              <w:t>3.7.2.</w:t>
            </w:r>
            <w:r>
              <w:rPr>
                <w:rFonts w:asciiTheme="minorHAnsi" w:hAnsiTheme="minorHAnsi" w:cstheme="minorBidi"/>
                <w:noProof/>
                <w:sz w:val="22"/>
                <w:szCs w:val="22"/>
                <w:lang w:eastAsia="cs-CZ" w:bidi="ar-SA"/>
              </w:rPr>
              <w:tab/>
            </w:r>
            <w:r w:rsidRPr="00984D72">
              <w:rPr>
                <w:rStyle w:val="Hypertextovodkaz"/>
                <w:noProof/>
              </w:rPr>
              <w:t>Investiční záměry města</w:t>
            </w:r>
            <w:r>
              <w:rPr>
                <w:noProof/>
                <w:webHidden/>
              </w:rPr>
              <w:tab/>
            </w:r>
            <w:r>
              <w:rPr>
                <w:noProof/>
                <w:webHidden/>
              </w:rPr>
              <w:fldChar w:fldCharType="begin"/>
            </w:r>
            <w:r>
              <w:rPr>
                <w:noProof/>
                <w:webHidden/>
              </w:rPr>
              <w:instrText xml:space="preserve"> PAGEREF _Toc410160014 \h </w:instrText>
            </w:r>
            <w:r>
              <w:rPr>
                <w:noProof/>
                <w:webHidden/>
              </w:rPr>
            </w:r>
            <w:r>
              <w:rPr>
                <w:noProof/>
                <w:webHidden/>
              </w:rPr>
              <w:fldChar w:fldCharType="separate"/>
            </w:r>
            <w:r>
              <w:rPr>
                <w:noProof/>
                <w:webHidden/>
              </w:rPr>
              <w:t>15</w:t>
            </w:r>
            <w:r>
              <w:rPr>
                <w:noProof/>
                <w:webHidden/>
              </w:rPr>
              <w:fldChar w:fldCharType="end"/>
            </w:r>
          </w:hyperlink>
        </w:p>
        <w:p w:rsidR="003A5C4E" w:rsidRDefault="003A5C4E">
          <w:pPr>
            <w:pStyle w:val="Obsah3"/>
            <w:tabs>
              <w:tab w:val="left" w:pos="1320"/>
              <w:tab w:val="right" w:leader="dot" w:pos="9062"/>
            </w:tabs>
            <w:rPr>
              <w:rFonts w:asciiTheme="minorHAnsi" w:hAnsiTheme="minorHAnsi" w:cstheme="minorBidi"/>
              <w:noProof/>
              <w:sz w:val="22"/>
              <w:szCs w:val="22"/>
              <w:lang w:eastAsia="cs-CZ" w:bidi="ar-SA"/>
            </w:rPr>
          </w:pPr>
          <w:hyperlink w:anchor="_Toc410160015" w:history="1">
            <w:r w:rsidRPr="00984D72">
              <w:rPr>
                <w:rStyle w:val="Hypertextovodkaz"/>
                <w:noProof/>
              </w:rPr>
              <w:t>3.7.3.</w:t>
            </w:r>
            <w:r>
              <w:rPr>
                <w:rFonts w:asciiTheme="minorHAnsi" w:hAnsiTheme="minorHAnsi" w:cstheme="minorBidi"/>
                <w:noProof/>
                <w:sz w:val="22"/>
                <w:szCs w:val="22"/>
                <w:lang w:eastAsia="cs-CZ" w:bidi="ar-SA"/>
              </w:rPr>
              <w:tab/>
            </w:r>
            <w:r w:rsidRPr="00984D72">
              <w:rPr>
                <w:rStyle w:val="Hypertextovodkaz"/>
                <w:noProof/>
              </w:rPr>
              <w:t>Regionální rada Jihovýchod.</w:t>
            </w:r>
            <w:r>
              <w:rPr>
                <w:noProof/>
                <w:webHidden/>
              </w:rPr>
              <w:tab/>
            </w:r>
            <w:r>
              <w:rPr>
                <w:noProof/>
                <w:webHidden/>
              </w:rPr>
              <w:fldChar w:fldCharType="begin"/>
            </w:r>
            <w:r>
              <w:rPr>
                <w:noProof/>
                <w:webHidden/>
              </w:rPr>
              <w:instrText xml:space="preserve"> PAGEREF _Toc410160015 \h </w:instrText>
            </w:r>
            <w:r>
              <w:rPr>
                <w:noProof/>
                <w:webHidden/>
              </w:rPr>
            </w:r>
            <w:r>
              <w:rPr>
                <w:noProof/>
                <w:webHidden/>
              </w:rPr>
              <w:fldChar w:fldCharType="separate"/>
            </w:r>
            <w:r>
              <w:rPr>
                <w:noProof/>
                <w:webHidden/>
              </w:rPr>
              <w:t>16</w:t>
            </w:r>
            <w:r>
              <w:rPr>
                <w:noProof/>
                <w:webHidden/>
              </w:rPr>
              <w:fldChar w:fldCharType="end"/>
            </w:r>
          </w:hyperlink>
        </w:p>
        <w:p w:rsidR="003A5C4E" w:rsidRDefault="003A5C4E">
          <w:pPr>
            <w:pStyle w:val="Obsah1"/>
            <w:rPr>
              <w:rFonts w:asciiTheme="minorHAnsi" w:hAnsiTheme="minorHAnsi" w:cstheme="minorBidi"/>
              <w:noProof/>
              <w:sz w:val="22"/>
              <w:szCs w:val="22"/>
              <w:lang w:eastAsia="cs-CZ" w:bidi="ar-SA"/>
            </w:rPr>
          </w:pPr>
          <w:hyperlink w:anchor="_Toc410160016" w:history="1">
            <w:r w:rsidRPr="00984D72">
              <w:rPr>
                <w:rStyle w:val="Hypertextovodkaz"/>
                <w:noProof/>
              </w:rPr>
              <w:t>4.</w:t>
            </w:r>
            <w:r>
              <w:rPr>
                <w:rFonts w:asciiTheme="minorHAnsi" w:hAnsiTheme="minorHAnsi" w:cstheme="minorBidi"/>
                <w:noProof/>
                <w:sz w:val="22"/>
                <w:szCs w:val="22"/>
                <w:lang w:eastAsia="cs-CZ" w:bidi="ar-SA"/>
              </w:rPr>
              <w:tab/>
            </w:r>
            <w:r w:rsidRPr="00984D72">
              <w:rPr>
                <w:rStyle w:val="Hypertextovodkaz"/>
                <w:noProof/>
              </w:rPr>
              <w:t>Investice v rámci jednotlivých cílů Strategie pro Brno</w:t>
            </w:r>
            <w:r>
              <w:rPr>
                <w:noProof/>
                <w:webHidden/>
              </w:rPr>
              <w:tab/>
            </w:r>
            <w:r>
              <w:rPr>
                <w:noProof/>
                <w:webHidden/>
              </w:rPr>
              <w:fldChar w:fldCharType="begin"/>
            </w:r>
            <w:r>
              <w:rPr>
                <w:noProof/>
                <w:webHidden/>
              </w:rPr>
              <w:instrText xml:space="preserve"> PAGEREF _Toc410160016 \h </w:instrText>
            </w:r>
            <w:r>
              <w:rPr>
                <w:noProof/>
                <w:webHidden/>
              </w:rPr>
            </w:r>
            <w:r>
              <w:rPr>
                <w:noProof/>
                <w:webHidden/>
              </w:rPr>
              <w:fldChar w:fldCharType="separate"/>
            </w:r>
            <w:r>
              <w:rPr>
                <w:noProof/>
                <w:webHidden/>
              </w:rPr>
              <w:t>17</w:t>
            </w:r>
            <w:r>
              <w:rPr>
                <w:noProof/>
                <w:webHidden/>
              </w:rPr>
              <w:fldChar w:fldCharType="end"/>
            </w:r>
          </w:hyperlink>
        </w:p>
        <w:p w:rsidR="003A5C4E" w:rsidRDefault="003A5C4E">
          <w:pPr>
            <w:pStyle w:val="Obsah1"/>
            <w:rPr>
              <w:rFonts w:asciiTheme="minorHAnsi" w:hAnsiTheme="minorHAnsi" w:cstheme="minorBidi"/>
              <w:noProof/>
              <w:sz w:val="22"/>
              <w:szCs w:val="22"/>
              <w:lang w:eastAsia="cs-CZ" w:bidi="ar-SA"/>
            </w:rPr>
          </w:pPr>
          <w:hyperlink w:anchor="_Toc410160017" w:history="1">
            <w:r w:rsidRPr="00984D72">
              <w:rPr>
                <w:rStyle w:val="Hypertextovodkaz"/>
                <w:noProof/>
                <w:lang w:eastAsia="cs-CZ"/>
              </w:rPr>
              <w:t>5.</w:t>
            </w:r>
            <w:r>
              <w:rPr>
                <w:rFonts w:asciiTheme="minorHAnsi" w:hAnsiTheme="minorHAnsi" w:cstheme="minorBidi"/>
                <w:noProof/>
                <w:sz w:val="22"/>
                <w:szCs w:val="22"/>
                <w:lang w:eastAsia="cs-CZ" w:bidi="ar-SA"/>
              </w:rPr>
              <w:tab/>
            </w:r>
            <w:r w:rsidRPr="00984D72">
              <w:rPr>
                <w:rStyle w:val="Hypertextovodkaz"/>
                <w:noProof/>
                <w:lang w:eastAsia="cs-CZ"/>
              </w:rPr>
              <w:t>Realizace, popis a rozpočet nejvýznamnějších projektů</w:t>
            </w:r>
            <w:r>
              <w:rPr>
                <w:noProof/>
                <w:webHidden/>
              </w:rPr>
              <w:tab/>
            </w:r>
            <w:r>
              <w:rPr>
                <w:noProof/>
                <w:webHidden/>
              </w:rPr>
              <w:fldChar w:fldCharType="begin"/>
            </w:r>
            <w:r>
              <w:rPr>
                <w:noProof/>
                <w:webHidden/>
              </w:rPr>
              <w:instrText xml:space="preserve"> PAGEREF _Toc410160017 \h </w:instrText>
            </w:r>
            <w:r>
              <w:rPr>
                <w:noProof/>
                <w:webHidden/>
              </w:rPr>
            </w:r>
            <w:r>
              <w:rPr>
                <w:noProof/>
                <w:webHidden/>
              </w:rPr>
              <w:fldChar w:fldCharType="separate"/>
            </w:r>
            <w:r>
              <w:rPr>
                <w:noProof/>
                <w:webHidden/>
              </w:rPr>
              <w:t>19</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18" w:history="1">
            <w:r w:rsidRPr="00984D72">
              <w:rPr>
                <w:rStyle w:val="Hypertextovodkaz"/>
                <w:noProof/>
                <w:lang w:eastAsia="cs-CZ"/>
              </w:rPr>
              <w:t>5.1.</w:t>
            </w:r>
            <w:r>
              <w:rPr>
                <w:rFonts w:asciiTheme="minorHAnsi" w:hAnsiTheme="minorHAnsi" w:cstheme="minorBidi"/>
                <w:noProof/>
                <w:sz w:val="22"/>
                <w:szCs w:val="22"/>
                <w:lang w:eastAsia="cs-CZ" w:bidi="ar-SA"/>
              </w:rPr>
              <w:tab/>
            </w:r>
            <w:r w:rsidRPr="00984D72">
              <w:rPr>
                <w:rStyle w:val="Hypertextovodkaz"/>
                <w:noProof/>
                <w:lang w:eastAsia="cs-CZ"/>
              </w:rPr>
              <w:t>CEITEC - středoevropský technologický institut</w:t>
            </w:r>
            <w:r>
              <w:rPr>
                <w:noProof/>
                <w:webHidden/>
              </w:rPr>
              <w:tab/>
            </w:r>
            <w:r>
              <w:rPr>
                <w:noProof/>
                <w:webHidden/>
              </w:rPr>
              <w:fldChar w:fldCharType="begin"/>
            </w:r>
            <w:r>
              <w:rPr>
                <w:noProof/>
                <w:webHidden/>
              </w:rPr>
              <w:instrText xml:space="preserve"> PAGEREF _Toc410160018 \h </w:instrText>
            </w:r>
            <w:r>
              <w:rPr>
                <w:noProof/>
                <w:webHidden/>
              </w:rPr>
            </w:r>
            <w:r>
              <w:rPr>
                <w:noProof/>
                <w:webHidden/>
              </w:rPr>
              <w:fldChar w:fldCharType="separate"/>
            </w:r>
            <w:r>
              <w:rPr>
                <w:noProof/>
                <w:webHidden/>
              </w:rPr>
              <w:t>19</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19" w:history="1">
            <w:r w:rsidRPr="00984D72">
              <w:rPr>
                <w:rStyle w:val="Hypertextovodkaz"/>
                <w:noProof/>
              </w:rPr>
              <w:t>5.2.</w:t>
            </w:r>
            <w:r>
              <w:rPr>
                <w:rFonts w:asciiTheme="minorHAnsi" w:hAnsiTheme="minorHAnsi" w:cstheme="minorBidi"/>
                <w:noProof/>
                <w:sz w:val="22"/>
                <w:szCs w:val="22"/>
                <w:lang w:eastAsia="cs-CZ" w:bidi="ar-SA"/>
              </w:rPr>
              <w:tab/>
            </w:r>
            <w:r w:rsidRPr="00984D72">
              <w:rPr>
                <w:rStyle w:val="Hypertextovodkaz"/>
                <w:noProof/>
              </w:rPr>
              <w:t>Mezinárodní centrum klinického výzkumu (FNUSA - ICRC)</w:t>
            </w:r>
            <w:r>
              <w:rPr>
                <w:noProof/>
                <w:webHidden/>
              </w:rPr>
              <w:tab/>
            </w:r>
            <w:r>
              <w:rPr>
                <w:noProof/>
                <w:webHidden/>
              </w:rPr>
              <w:fldChar w:fldCharType="begin"/>
            </w:r>
            <w:r>
              <w:rPr>
                <w:noProof/>
                <w:webHidden/>
              </w:rPr>
              <w:instrText xml:space="preserve"> PAGEREF _Toc410160019 \h </w:instrText>
            </w:r>
            <w:r>
              <w:rPr>
                <w:noProof/>
                <w:webHidden/>
              </w:rPr>
            </w:r>
            <w:r>
              <w:rPr>
                <w:noProof/>
                <w:webHidden/>
              </w:rPr>
              <w:fldChar w:fldCharType="separate"/>
            </w:r>
            <w:r>
              <w:rPr>
                <w:noProof/>
                <w:webHidden/>
              </w:rPr>
              <w:t>20</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0" w:history="1">
            <w:r w:rsidRPr="00984D72">
              <w:rPr>
                <w:rStyle w:val="Hypertextovodkaz"/>
                <w:noProof/>
                <w:lang w:eastAsia="cs-CZ"/>
              </w:rPr>
              <w:t>5.3.</w:t>
            </w:r>
            <w:r>
              <w:rPr>
                <w:rFonts w:asciiTheme="minorHAnsi" w:hAnsiTheme="minorHAnsi" w:cstheme="minorBidi"/>
                <w:noProof/>
                <w:sz w:val="22"/>
                <w:szCs w:val="22"/>
                <w:lang w:eastAsia="cs-CZ" w:bidi="ar-SA"/>
              </w:rPr>
              <w:tab/>
            </w:r>
            <w:r w:rsidRPr="00984D72">
              <w:rPr>
                <w:rStyle w:val="Hypertextovodkaz"/>
                <w:noProof/>
                <w:lang w:eastAsia="cs-CZ"/>
              </w:rPr>
              <w:t>Centrum excelence IT4Innovations</w:t>
            </w:r>
            <w:r>
              <w:rPr>
                <w:noProof/>
                <w:webHidden/>
              </w:rPr>
              <w:tab/>
            </w:r>
            <w:r>
              <w:rPr>
                <w:noProof/>
                <w:webHidden/>
              </w:rPr>
              <w:fldChar w:fldCharType="begin"/>
            </w:r>
            <w:r>
              <w:rPr>
                <w:noProof/>
                <w:webHidden/>
              </w:rPr>
              <w:instrText xml:space="preserve"> PAGEREF _Toc410160020 \h </w:instrText>
            </w:r>
            <w:r>
              <w:rPr>
                <w:noProof/>
                <w:webHidden/>
              </w:rPr>
            </w:r>
            <w:r>
              <w:rPr>
                <w:noProof/>
                <w:webHidden/>
              </w:rPr>
              <w:fldChar w:fldCharType="separate"/>
            </w:r>
            <w:r>
              <w:rPr>
                <w:noProof/>
                <w:webHidden/>
              </w:rPr>
              <w:t>21</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1" w:history="1">
            <w:r w:rsidRPr="00984D72">
              <w:rPr>
                <w:rStyle w:val="Hypertextovodkaz"/>
                <w:rFonts w:eastAsia="Times New Roman"/>
                <w:noProof/>
                <w:lang w:eastAsia="cs-CZ"/>
              </w:rPr>
              <w:t>5.4.</w:t>
            </w:r>
            <w:r>
              <w:rPr>
                <w:rFonts w:asciiTheme="minorHAnsi" w:hAnsiTheme="minorHAnsi" w:cstheme="minorBidi"/>
                <w:noProof/>
                <w:sz w:val="22"/>
                <w:szCs w:val="22"/>
                <w:lang w:eastAsia="cs-CZ" w:bidi="ar-SA"/>
              </w:rPr>
              <w:tab/>
            </w:r>
            <w:r w:rsidRPr="00984D72">
              <w:rPr>
                <w:rStyle w:val="Hypertextovodkaz"/>
                <w:rFonts w:eastAsia="Times New Roman"/>
                <w:noProof/>
                <w:lang w:eastAsia="cs-CZ"/>
              </w:rPr>
              <w:t>Výstavba vzdělávacího komplexu FEKT VUT v Brně</w:t>
            </w:r>
            <w:r>
              <w:rPr>
                <w:noProof/>
                <w:webHidden/>
              </w:rPr>
              <w:tab/>
            </w:r>
            <w:r>
              <w:rPr>
                <w:noProof/>
                <w:webHidden/>
              </w:rPr>
              <w:fldChar w:fldCharType="begin"/>
            </w:r>
            <w:r>
              <w:rPr>
                <w:noProof/>
                <w:webHidden/>
              </w:rPr>
              <w:instrText xml:space="preserve"> PAGEREF _Toc410160021 \h </w:instrText>
            </w:r>
            <w:r>
              <w:rPr>
                <w:noProof/>
                <w:webHidden/>
              </w:rPr>
            </w:r>
            <w:r>
              <w:rPr>
                <w:noProof/>
                <w:webHidden/>
              </w:rPr>
              <w:fldChar w:fldCharType="separate"/>
            </w:r>
            <w:r>
              <w:rPr>
                <w:noProof/>
                <w:webHidden/>
              </w:rPr>
              <w:t>22</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2" w:history="1">
            <w:r w:rsidRPr="00984D72">
              <w:rPr>
                <w:rStyle w:val="Hypertextovodkaz"/>
                <w:rFonts w:eastAsia="Times New Roman"/>
                <w:noProof/>
                <w:lang w:eastAsia="cs-CZ"/>
              </w:rPr>
              <w:t>5.5.</w:t>
            </w:r>
            <w:r>
              <w:rPr>
                <w:rFonts w:asciiTheme="minorHAnsi" w:hAnsiTheme="minorHAnsi" w:cstheme="minorBidi"/>
                <w:noProof/>
                <w:sz w:val="22"/>
                <w:szCs w:val="22"/>
                <w:lang w:eastAsia="cs-CZ" w:bidi="ar-SA"/>
              </w:rPr>
              <w:tab/>
            </w:r>
            <w:r w:rsidRPr="00984D72">
              <w:rPr>
                <w:rStyle w:val="Hypertextovodkaz"/>
                <w:rFonts w:eastAsia="Times New Roman"/>
                <w:noProof/>
                <w:lang w:eastAsia="cs-CZ"/>
              </w:rPr>
              <w:t>AdMaS - Pokročilé stavební materiály, konstrukce a technologie</w:t>
            </w:r>
            <w:r>
              <w:rPr>
                <w:noProof/>
                <w:webHidden/>
              </w:rPr>
              <w:tab/>
            </w:r>
            <w:r>
              <w:rPr>
                <w:noProof/>
                <w:webHidden/>
              </w:rPr>
              <w:fldChar w:fldCharType="begin"/>
            </w:r>
            <w:r>
              <w:rPr>
                <w:noProof/>
                <w:webHidden/>
              </w:rPr>
              <w:instrText xml:space="preserve"> PAGEREF _Toc410160022 \h </w:instrText>
            </w:r>
            <w:r>
              <w:rPr>
                <w:noProof/>
                <w:webHidden/>
              </w:rPr>
            </w:r>
            <w:r>
              <w:rPr>
                <w:noProof/>
                <w:webHidden/>
              </w:rPr>
              <w:fldChar w:fldCharType="separate"/>
            </w:r>
            <w:r>
              <w:rPr>
                <w:noProof/>
                <w:webHidden/>
              </w:rPr>
              <w:t>23</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3" w:history="1">
            <w:r w:rsidRPr="00984D72">
              <w:rPr>
                <w:rStyle w:val="Hypertextovodkaz"/>
                <w:noProof/>
                <w:lang w:eastAsia="cs-CZ"/>
              </w:rPr>
              <w:t>5.6.</w:t>
            </w:r>
            <w:r>
              <w:rPr>
                <w:rFonts w:asciiTheme="minorHAnsi" w:hAnsiTheme="minorHAnsi" w:cstheme="minorBidi"/>
                <w:noProof/>
                <w:sz w:val="22"/>
                <w:szCs w:val="22"/>
                <w:lang w:eastAsia="cs-CZ" w:bidi="ar-SA"/>
              </w:rPr>
              <w:tab/>
            </w:r>
            <w:r w:rsidRPr="00984D72">
              <w:rPr>
                <w:rStyle w:val="Hypertextovodkaz"/>
                <w:noProof/>
                <w:lang w:eastAsia="cs-CZ"/>
              </w:rPr>
              <w:t>CzechGlobe – Centrum pro studium dopadů globální změny klimatu</w:t>
            </w:r>
            <w:r>
              <w:rPr>
                <w:noProof/>
                <w:webHidden/>
              </w:rPr>
              <w:tab/>
            </w:r>
            <w:r>
              <w:rPr>
                <w:noProof/>
                <w:webHidden/>
              </w:rPr>
              <w:fldChar w:fldCharType="begin"/>
            </w:r>
            <w:r>
              <w:rPr>
                <w:noProof/>
                <w:webHidden/>
              </w:rPr>
              <w:instrText xml:space="preserve"> PAGEREF _Toc410160023 \h </w:instrText>
            </w:r>
            <w:r>
              <w:rPr>
                <w:noProof/>
                <w:webHidden/>
              </w:rPr>
            </w:r>
            <w:r>
              <w:rPr>
                <w:noProof/>
                <w:webHidden/>
              </w:rPr>
              <w:fldChar w:fldCharType="separate"/>
            </w:r>
            <w:r>
              <w:rPr>
                <w:noProof/>
                <w:webHidden/>
              </w:rPr>
              <w:t>24</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4" w:history="1">
            <w:r w:rsidRPr="00984D72">
              <w:rPr>
                <w:rStyle w:val="Hypertextovodkaz"/>
                <w:noProof/>
              </w:rPr>
              <w:t>5.7.</w:t>
            </w:r>
            <w:r>
              <w:rPr>
                <w:rFonts w:asciiTheme="minorHAnsi" w:hAnsiTheme="minorHAnsi" w:cstheme="minorBidi"/>
                <w:noProof/>
                <w:sz w:val="22"/>
                <w:szCs w:val="22"/>
                <w:lang w:eastAsia="cs-CZ" w:bidi="ar-SA"/>
              </w:rPr>
              <w:tab/>
            </w:r>
            <w:r w:rsidRPr="00984D72">
              <w:rPr>
                <w:rStyle w:val="Hypertextovodkaz"/>
                <w:noProof/>
              </w:rPr>
              <w:t>Aplikační a vývojové laboratoře pokročilých mikrotechnologií a nanotechnologií</w:t>
            </w:r>
            <w:r>
              <w:rPr>
                <w:noProof/>
                <w:webHidden/>
              </w:rPr>
              <w:tab/>
            </w:r>
            <w:r>
              <w:rPr>
                <w:noProof/>
                <w:webHidden/>
              </w:rPr>
              <w:fldChar w:fldCharType="begin"/>
            </w:r>
            <w:r>
              <w:rPr>
                <w:noProof/>
                <w:webHidden/>
              </w:rPr>
              <w:instrText xml:space="preserve"> PAGEREF _Toc410160024 \h </w:instrText>
            </w:r>
            <w:r>
              <w:rPr>
                <w:noProof/>
                <w:webHidden/>
              </w:rPr>
            </w:r>
            <w:r>
              <w:rPr>
                <w:noProof/>
                <w:webHidden/>
              </w:rPr>
              <w:fldChar w:fldCharType="separate"/>
            </w:r>
            <w:r>
              <w:rPr>
                <w:noProof/>
                <w:webHidden/>
              </w:rPr>
              <w:t>25</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5" w:history="1">
            <w:r w:rsidRPr="00984D72">
              <w:rPr>
                <w:rStyle w:val="Hypertextovodkaz"/>
                <w:noProof/>
              </w:rPr>
              <w:t>5.8.</w:t>
            </w:r>
            <w:r>
              <w:rPr>
                <w:rFonts w:asciiTheme="minorHAnsi" w:hAnsiTheme="minorHAnsi" w:cstheme="minorBidi"/>
                <w:noProof/>
                <w:sz w:val="22"/>
                <w:szCs w:val="22"/>
                <w:lang w:eastAsia="cs-CZ" w:bidi="ar-SA"/>
              </w:rPr>
              <w:tab/>
            </w:r>
            <w:r w:rsidRPr="00984D72">
              <w:rPr>
                <w:rStyle w:val="Hypertextovodkaz"/>
                <w:noProof/>
              </w:rPr>
              <w:t>NETME Centre (Nové technologie pro strojírenství)</w:t>
            </w:r>
            <w:r>
              <w:rPr>
                <w:noProof/>
                <w:webHidden/>
              </w:rPr>
              <w:tab/>
            </w:r>
            <w:r>
              <w:rPr>
                <w:noProof/>
                <w:webHidden/>
              </w:rPr>
              <w:fldChar w:fldCharType="begin"/>
            </w:r>
            <w:r>
              <w:rPr>
                <w:noProof/>
                <w:webHidden/>
              </w:rPr>
              <w:instrText xml:space="preserve"> PAGEREF _Toc410160025 \h </w:instrText>
            </w:r>
            <w:r>
              <w:rPr>
                <w:noProof/>
                <w:webHidden/>
              </w:rPr>
            </w:r>
            <w:r>
              <w:rPr>
                <w:noProof/>
                <w:webHidden/>
              </w:rPr>
              <w:fldChar w:fldCharType="separate"/>
            </w:r>
            <w:r>
              <w:rPr>
                <w:noProof/>
                <w:webHidden/>
              </w:rPr>
              <w:t>26</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6" w:history="1">
            <w:r w:rsidRPr="00984D72">
              <w:rPr>
                <w:rStyle w:val="Hypertextovodkaz"/>
                <w:noProof/>
                <w:lang w:eastAsia="cs-CZ"/>
              </w:rPr>
              <w:t>5.9.</w:t>
            </w:r>
            <w:r>
              <w:rPr>
                <w:rFonts w:asciiTheme="minorHAnsi" w:hAnsiTheme="minorHAnsi" w:cstheme="minorBidi"/>
                <w:noProof/>
                <w:sz w:val="22"/>
                <w:szCs w:val="22"/>
                <w:lang w:eastAsia="cs-CZ" w:bidi="ar-SA"/>
              </w:rPr>
              <w:tab/>
            </w:r>
            <w:r w:rsidRPr="00984D72">
              <w:rPr>
                <w:rStyle w:val="Hypertextovodkaz"/>
                <w:noProof/>
                <w:lang w:eastAsia="cs-CZ"/>
              </w:rPr>
              <w:t>Výukové a výzkumné kapacity pro biotechnologické obory a rozšíření infrastruktury</w:t>
            </w:r>
            <w:r>
              <w:rPr>
                <w:noProof/>
                <w:webHidden/>
              </w:rPr>
              <w:tab/>
            </w:r>
            <w:r>
              <w:rPr>
                <w:noProof/>
                <w:webHidden/>
              </w:rPr>
              <w:fldChar w:fldCharType="begin"/>
            </w:r>
            <w:r>
              <w:rPr>
                <w:noProof/>
                <w:webHidden/>
              </w:rPr>
              <w:instrText xml:space="preserve"> PAGEREF _Toc410160026 \h </w:instrText>
            </w:r>
            <w:r>
              <w:rPr>
                <w:noProof/>
                <w:webHidden/>
              </w:rPr>
            </w:r>
            <w:r>
              <w:rPr>
                <w:noProof/>
                <w:webHidden/>
              </w:rPr>
              <w:fldChar w:fldCharType="separate"/>
            </w:r>
            <w:r>
              <w:rPr>
                <w:noProof/>
                <w:webHidden/>
              </w:rPr>
              <w:t>27</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7" w:history="1">
            <w:r w:rsidRPr="00984D72">
              <w:rPr>
                <w:rStyle w:val="Hypertextovodkaz"/>
                <w:noProof/>
              </w:rPr>
              <w:t>5.10.</w:t>
            </w:r>
            <w:r>
              <w:rPr>
                <w:rFonts w:asciiTheme="minorHAnsi" w:hAnsiTheme="minorHAnsi" w:cstheme="minorBidi"/>
                <w:noProof/>
                <w:sz w:val="22"/>
                <w:szCs w:val="22"/>
                <w:lang w:eastAsia="cs-CZ" w:bidi="ar-SA"/>
              </w:rPr>
              <w:tab/>
            </w:r>
            <w:r w:rsidRPr="00984D72">
              <w:rPr>
                <w:rStyle w:val="Hypertextovodkaz"/>
                <w:noProof/>
              </w:rPr>
              <w:t>Centrum experimentální, systematické a ekologické biologie</w:t>
            </w:r>
            <w:r>
              <w:rPr>
                <w:noProof/>
                <w:webHidden/>
              </w:rPr>
              <w:tab/>
            </w:r>
            <w:r>
              <w:rPr>
                <w:noProof/>
                <w:webHidden/>
              </w:rPr>
              <w:fldChar w:fldCharType="begin"/>
            </w:r>
            <w:r>
              <w:rPr>
                <w:noProof/>
                <w:webHidden/>
              </w:rPr>
              <w:instrText xml:space="preserve"> PAGEREF _Toc410160027 \h </w:instrText>
            </w:r>
            <w:r>
              <w:rPr>
                <w:noProof/>
                <w:webHidden/>
              </w:rPr>
            </w:r>
            <w:r>
              <w:rPr>
                <w:noProof/>
                <w:webHidden/>
              </w:rPr>
              <w:fldChar w:fldCharType="separate"/>
            </w:r>
            <w:r>
              <w:rPr>
                <w:noProof/>
                <w:webHidden/>
              </w:rPr>
              <w:t>28</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8" w:history="1">
            <w:r w:rsidRPr="00984D72">
              <w:rPr>
                <w:rStyle w:val="Hypertextovodkaz"/>
                <w:noProof/>
                <w:lang w:eastAsia="cs-CZ"/>
              </w:rPr>
              <w:t>5.11.</w:t>
            </w:r>
            <w:r>
              <w:rPr>
                <w:rFonts w:asciiTheme="minorHAnsi" w:hAnsiTheme="minorHAnsi" w:cstheme="minorBidi"/>
                <w:noProof/>
                <w:sz w:val="22"/>
                <w:szCs w:val="22"/>
                <w:lang w:eastAsia="cs-CZ" w:bidi="ar-SA"/>
              </w:rPr>
              <w:tab/>
            </w:r>
            <w:r w:rsidRPr="00984D72">
              <w:rPr>
                <w:rStyle w:val="Hypertextovodkaz"/>
                <w:noProof/>
                <w:lang w:eastAsia="cs-CZ"/>
              </w:rPr>
              <w:t>Aktivity spojené s realizací a řízením ROP Jihovýchod v letech 2009-2015</w:t>
            </w:r>
            <w:r>
              <w:rPr>
                <w:noProof/>
                <w:webHidden/>
              </w:rPr>
              <w:tab/>
            </w:r>
            <w:r>
              <w:rPr>
                <w:noProof/>
                <w:webHidden/>
              </w:rPr>
              <w:fldChar w:fldCharType="begin"/>
            </w:r>
            <w:r>
              <w:rPr>
                <w:noProof/>
                <w:webHidden/>
              </w:rPr>
              <w:instrText xml:space="preserve"> PAGEREF _Toc410160028 \h </w:instrText>
            </w:r>
            <w:r>
              <w:rPr>
                <w:noProof/>
                <w:webHidden/>
              </w:rPr>
            </w:r>
            <w:r>
              <w:rPr>
                <w:noProof/>
                <w:webHidden/>
              </w:rPr>
              <w:fldChar w:fldCharType="separate"/>
            </w:r>
            <w:r>
              <w:rPr>
                <w:noProof/>
                <w:webHidden/>
              </w:rPr>
              <w:t>29</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29" w:history="1">
            <w:r w:rsidRPr="00984D72">
              <w:rPr>
                <w:rStyle w:val="Hypertextovodkaz"/>
                <w:noProof/>
                <w:lang w:eastAsia="cs-CZ"/>
              </w:rPr>
              <w:t>5.12.</w:t>
            </w:r>
            <w:r>
              <w:rPr>
                <w:rFonts w:asciiTheme="minorHAnsi" w:hAnsiTheme="minorHAnsi" w:cstheme="minorBidi"/>
                <w:noProof/>
                <w:sz w:val="22"/>
                <w:szCs w:val="22"/>
                <w:lang w:eastAsia="cs-CZ" w:bidi="ar-SA"/>
              </w:rPr>
              <w:tab/>
            </w:r>
            <w:r w:rsidRPr="00984D72">
              <w:rPr>
                <w:rStyle w:val="Hypertextovodkaz"/>
                <w:noProof/>
                <w:lang w:eastAsia="cs-CZ"/>
              </w:rPr>
              <w:t>Obnova vozového parku drážních vozidel</w:t>
            </w:r>
            <w:r>
              <w:rPr>
                <w:noProof/>
                <w:webHidden/>
              </w:rPr>
              <w:tab/>
            </w:r>
            <w:r>
              <w:rPr>
                <w:noProof/>
                <w:webHidden/>
              </w:rPr>
              <w:fldChar w:fldCharType="begin"/>
            </w:r>
            <w:r>
              <w:rPr>
                <w:noProof/>
                <w:webHidden/>
              </w:rPr>
              <w:instrText xml:space="preserve"> PAGEREF _Toc410160029 \h </w:instrText>
            </w:r>
            <w:r>
              <w:rPr>
                <w:noProof/>
                <w:webHidden/>
              </w:rPr>
            </w:r>
            <w:r>
              <w:rPr>
                <w:noProof/>
                <w:webHidden/>
              </w:rPr>
              <w:fldChar w:fldCharType="separate"/>
            </w:r>
            <w:r>
              <w:rPr>
                <w:noProof/>
                <w:webHidden/>
              </w:rPr>
              <w:t>30</w:t>
            </w:r>
            <w:r>
              <w:rPr>
                <w:noProof/>
                <w:webHidden/>
              </w:rPr>
              <w:fldChar w:fldCharType="end"/>
            </w:r>
          </w:hyperlink>
        </w:p>
        <w:p w:rsidR="003A5C4E" w:rsidRDefault="003A5C4E">
          <w:pPr>
            <w:pStyle w:val="Obsah2"/>
            <w:rPr>
              <w:rFonts w:asciiTheme="minorHAnsi" w:hAnsiTheme="minorHAnsi" w:cstheme="minorBidi"/>
              <w:noProof/>
              <w:sz w:val="22"/>
              <w:szCs w:val="22"/>
              <w:lang w:eastAsia="cs-CZ" w:bidi="ar-SA"/>
            </w:rPr>
          </w:pPr>
          <w:hyperlink w:anchor="_Toc410160030" w:history="1">
            <w:r w:rsidRPr="00984D72">
              <w:rPr>
                <w:rStyle w:val="Hypertextovodkaz"/>
                <w:noProof/>
              </w:rPr>
              <w:t>5.13.</w:t>
            </w:r>
            <w:r>
              <w:rPr>
                <w:rFonts w:asciiTheme="minorHAnsi" w:hAnsiTheme="minorHAnsi" w:cstheme="minorBidi"/>
                <w:noProof/>
                <w:sz w:val="22"/>
                <w:szCs w:val="22"/>
                <w:lang w:eastAsia="cs-CZ" w:bidi="ar-SA"/>
              </w:rPr>
              <w:tab/>
            </w:r>
            <w:r w:rsidRPr="00984D72">
              <w:rPr>
                <w:rStyle w:val="Hypertextovodkaz"/>
                <w:noProof/>
                <w:shd w:val="clear" w:color="auto" w:fill="FFFFFF"/>
              </w:rPr>
              <w:t>Rekonstrukce a dostavba hotelu Maximus Resort</w:t>
            </w:r>
            <w:r>
              <w:rPr>
                <w:noProof/>
                <w:webHidden/>
              </w:rPr>
              <w:tab/>
            </w:r>
            <w:r>
              <w:rPr>
                <w:noProof/>
                <w:webHidden/>
              </w:rPr>
              <w:fldChar w:fldCharType="begin"/>
            </w:r>
            <w:r>
              <w:rPr>
                <w:noProof/>
                <w:webHidden/>
              </w:rPr>
              <w:instrText xml:space="preserve"> PAGEREF _Toc410160030 \h </w:instrText>
            </w:r>
            <w:r>
              <w:rPr>
                <w:noProof/>
                <w:webHidden/>
              </w:rPr>
            </w:r>
            <w:r>
              <w:rPr>
                <w:noProof/>
                <w:webHidden/>
              </w:rPr>
              <w:fldChar w:fldCharType="separate"/>
            </w:r>
            <w:r>
              <w:rPr>
                <w:noProof/>
                <w:webHidden/>
              </w:rPr>
              <w:t>31</w:t>
            </w:r>
            <w:r>
              <w:rPr>
                <w:noProof/>
                <w:webHidden/>
              </w:rPr>
              <w:fldChar w:fldCharType="end"/>
            </w:r>
          </w:hyperlink>
        </w:p>
        <w:p w:rsidR="00D56EF6" w:rsidRDefault="003A5C4E" w:rsidP="009D0F60">
          <w:pPr>
            <w:pStyle w:val="Obsah1"/>
          </w:pPr>
          <w:hyperlink w:anchor="_Toc410160031" w:history="1">
            <w:r w:rsidRPr="00984D72">
              <w:rPr>
                <w:rStyle w:val="Hypertextovodkaz"/>
                <w:noProof/>
              </w:rPr>
              <w:t>6.</w:t>
            </w:r>
            <w:r>
              <w:rPr>
                <w:rFonts w:asciiTheme="minorHAnsi" w:hAnsiTheme="minorHAnsi" w:cstheme="minorBidi"/>
                <w:noProof/>
                <w:sz w:val="22"/>
                <w:szCs w:val="22"/>
                <w:lang w:eastAsia="cs-CZ" w:bidi="ar-SA"/>
              </w:rPr>
              <w:tab/>
            </w:r>
            <w:r w:rsidRPr="00984D72">
              <w:rPr>
                <w:rStyle w:val="Hypertextovodkaz"/>
                <w:noProof/>
              </w:rPr>
              <w:t>Závěr</w:t>
            </w:r>
            <w:r>
              <w:rPr>
                <w:noProof/>
                <w:webHidden/>
              </w:rPr>
              <w:tab/>
            </w:r>
            <w:r>
              <w:rPr>
                <w:noProof/>
                <w:webHidden/>
              </w:rPr>
              <w:fldChar w:fldCharType="begin"/>
            </w:r>
            <w:r>
              <w:rPr>
                <w:noProof/>
                <w:webHidden/>
              </w:rPr>
              <w:instrText xml:space="preserve"> PAGEREF _Toc410160031 \h </w:instrText>
            </w:r>
            <w:r>
              <w:rPr>
                <w:noProof/>
                <w:webHidden/>
              </w:rPr>
            </w:r>
            <w:r>
              <w:rPr>
                <w:noProof/>
                <w:webHidden/>
              </w:rPr>
              <w:fldChar w:fldCharType="separate"/>
            </w:r>
            <w:r>
              <w:rPr>
                <w:noProof/>
                <w:webHidden/>
              </w:rPr>
              <w:t>32</w:t>
            </w:r>
            <w:r>
              <w:rPr>
                <w:noProof/>
                <w:webHidden/>
              </w:rPr>
              <w:fldChar w:fldCharType="end"/>
            </w:r>
          </w:hyperlink>
          <w:r w:rsidR="001776F9">
            <w:fldChar w:fldCharType="end"/>
          </w:r>
        </w:p>
      </w:sdtContent>
    </w:sdt>
    <w:p w:rsidR="003357AE" w:rsidRPr="0071520F" w:rsidRDefault="00FC459D" w:rsidP="007A43A7">
      <w:pPr>
        <w:pStyle w:val="Nadpis1"/>
        <w:numPr>
          <w:ilvl w:val="0"/>
          <w:numId w:val="5"/>
        </w:numPr>
      </w:pPr>
      <w:bookmarkStart w:id="0" w:name="_Toc407101581"/>
      <w:bookmarkStart w:id="1" w:name="_Toc410160003"/>
      <w:r w:rsidRPr="0071520F">
        <w:lastRenderedPageBreak/>
        <w:t>Úvod</w:t>
      </w:r>
      <w:bookmarkEnd w:id="0"/>
      <w:bookmarkEnd w:id="1"/>
    </w:p>
    <w:p w:rsidR="00BD08E1" w:rsidRPr="0071520F" w:rsidRDefault="00BA0D11" w:rsidP="007A43A7">
      <w:pPr>
        <w:ind w:firstLine="360"/>
      </w:pPr>
      <w:r w:rsidRPr="0071520F">
        <w:t>Město Brno je se skoro čtyřmi sty tisíci obyvateli druhým největším městem České republiky a centrem jižní Moravy</w:t>
      </w:r>
      <w:r w:rsidR="00CA40F3" w:rsidRPr="0071520F">
        <w:t xml:space="preserve">. Každý den se v něm vyskytuje více než půl milionu lidí a počet vysokoškolských studentů se přibližuje sto tisícům. Umístěno je strategicky mezi dalšími centry středoevropského regionu a zároveň na křižovatce </w:t>
      </w:r>
      <w:r w:rsidR="00AB121D" w:rsidRPr="0071520F">
        <w:t xml:space="preserve">důležitých </w:t>
      </w:r>
      <w:r w:rsidR="00CA40F3" w:rsidRPr="0071520F">
        <w:t>dopravních</w:t>
      </w:r>
      <w:r w:rsidR="00AB121D" w:rsidRPr="0071520F">
        <w:t xml:space="preserve"> koridorů</w:t>
      </w:r>
      <w:r w:rsidR="00CA40F3" w:rsidRPr="0071520F">
        <w:t>. S historickým centrem, funkcionalistickými památkami, či přírodou rozkládající se kolem něj je zajímavým cílem nejen pro vnitrostátní</w:t>
      </w:r>
      <w:r w:rsidR="00AB121D" w:rsidRPr="0071520F">
        <w:t>,</w:t>
      </w:r>
      <w:r w:rsidR="00CA40F3" w:rsidRPr="0071520F">
        <w:t xml:space="preserve"> ale i zahraniční turistiku a trávení volného času. Jsou však i další faktory, díky kterým se hodnota města Brna zvětšuje a na základě kterých může být i dále propagováno. </w:t>
      </w:r>
      <w:r w:rsidR="00AB121D" w:rsidRPr="0071520F">
        <w:t>Existuje zde dlouhá historická tradice výstavnictví a s tím spojené kongresové turistiky. Město Brno jakožto univerzitní centrum k sobě přitahuje velké množství potenciálních výzkumných projektů, firem zabývajících se inovacemi a podnikáním ve vyspělých (nejen) IT technologiích. Krom novodobých kulturních a sportovních událostí může město Brno stavět a čerpat i ze své dávné historie. Aby však bylo možné tyto a mnohé další výhody rozvíjet a využívat pro dobro občanů Brna, ale i celého regionu a zahraničních návštěvníků či pracovníků, je nutná propracovaná strategie a její dodržování.</w:t>
      </w:r>
    </w:p>
    <w:p w:rsidR="00FC459D" w:rsidRPr="0071520F" w:rsidRDefault="00AB121D" w:rsidP="007A43A7">
      <w:pPr>
        <w:ind w:firstLine="360"/>
      </w:pPr>
      <w:r w:rsidRPr="0071520F">
        <w:t xml:space="preserve">První Strategii pro Brno si nechali představitelé </w:t>
      </w:r>
      <w:r w:rsidR="00BD08E1" w:rsidRPr="0071520F">
        <w:t>města</w:t>
      </w:r>
      <w:r w:rsidRPr="0071520F">
        <w:t xml:space="preserve"> vypracovat v roce 2002</w:t>
      </w:r>
      <w:r w:rsidR="00BD08E1" w:rsidRPr="0071520F">
        <w:t>, j</w:t>
      </w:r>
      <w:r w:rsidRPr="0071520F">
        <w:t xml:space="preserve">iž v roce 2005 </w:t>
      </w:r>
      <w:r w:rsidR="00120A97" w:rsidRPr="0071520F">
        <w:t>bylo rozhodnuto o aktualizaci dokumentu</w:t>
      </w:r>
      <w:r w:rsidR="00BD08E1" w:rsidRPr="0071520F">
        <w:t xml:space="preserve"> a během dvou roků byla jeho nová verze schválena. Na vypracování strategických priorit města Brna pracovalo mnoho lidí a jeho vývoj ovlivnily jak připomínky samotných občanů, tak rady odborníků, podnikatelů, či zástupců neziskových organizací. Vzhledem k tomu, že však uběhlo mnoho dalších let, město Brno se stále vyvíjí a proměňuje, přišla chvíle, kdy by měla být Strategie pro Brno a její priority znovu posouzeny a přepracovány. Pro takovýto cíl je však nutné vědět, jakým způsobem byly po roce 2007 prostředky vynakládány a zda se jejich směřování orientovalo dle dokumentem daných cílů a opatření. I proto byla vypracována tato předběžná studie, která se snaží ukázat rozvrstvení vynaložených prostředků z různých zdrojů, zároveň představuje nejdůležitější projekty daného období a na závěr se snaží o podání potencionálních rad a otázek, dle kterých by se autoři nové verze Strategie pro Brno měli orientovat. Každý takovýto dokument totiž musí být nejen orientovaný daleko do budoucnosti, tedy dlouhodobý </w:t>
      </w:r>
      <w:r w:rsidR="00060457">
        <w:t>i</w:t>
      </w:r>
      <w:r w:rsidR="00BD08E1" w:rsidRPr="0071520F">
        <w:t xml:space="preserve"> stojící na pevných základech, ale zároveň otevřený pro další rozvoj, </w:t>
      </w:r>
      <w:r w:rsidR="008E4ED7" w:rsidRPr="0071520F">
        <w:t>dynamický</w:t>
      </w:r>
      <w:r w:rsidR="00060457">
        <w:t xml:space="preserve">, </w:t>
      </w:r>
      <w:r w:rsidR="008E4ED7" w:rsidRPr="0071520F">
        <w:t>ambiciózní</w:t>
      </w:r>
      <w:r w:rsidR="00060457">
        <w:t xml:space="preserve">, či </w:t>
      </w:r>
      <w:r w:rsidR="008E4ED7" w:rsidRPr="0071520F">
        <w:t>ukazuj</w:t>
      </w:r>
      <w:r w:rsidR="00060457">
        <w:t>ící</w:t>
      </w:r>
      <w:r w:rsidR="008E4ED7" w:rsidRPr="0071520F">
        <w:t xml:space="preserve"> nové </w:t>
      </w:r>
      <w:r w:rsidR="000F40B1" w:rsidRPr="0071520F">
        <w:t>vize a cesty</w:t>
      </w:r>
      <w:r w:rsidR="008E4ED7" w:rsidRPr="0071520F">
        <w:t>.</w:t>
      </w:r>
    </w:p>
    <w:p w:rsidR="00FC459D" w:rsidRPr="0071520F" w:rsidRDefault="00FC459D" w:rsidP="007A43A7">
      <w:pPr>
        <w:pStyle w:val="Nadpis1"/>
        <w:numPr>
          <w:ilvl w:val="0"/>
          <w:numId w:val="5"/>
        </w:numPr>
      </w:pPr>
      <w:bookmarkStart w:id="2" w:name="_Toc407101582"/>
      <w:bookmarkStart w:id="3" w:name="_Toc410160004"/>
      <w:r w:rsidRPr="0071520F">
        <w:lastRenderedPageBreak/>
        <w:t>Metodologie</w:t>
      </w:r>
      <w:bookmarkEnd w:id="2"/>
      <w:bookmarkEnd w:id="3"/>
    </w:p>
    <w:p w:rsidR="000F40B1" w:rsidRPr="0071520F" w:rsidRDefault="000F40B1" w:rsidP="007A43A7">
      <w:pPr>
        <w:ind w:firstLine="360"/>
      </w:pPr>
      <w:r w:rsidRPr="0071520F">
        <w:t>Text této práce je založen na analýze tří zdrojů financování projektů na území města Brna v projektovém období 2007-2014</w:t>
      </w:r>
      <w:r w:rsidR="003357AE" w:rsidRPr="0071520F">
        <w:t>.</w:t>
      </w:r>
      <w:r w:rsidR="00060457">
        <w:t xml:space="preserve"> Použity a zpracovány</w:t>
      </w:r>
      <w:r w:rsidRPr="0071520F">
        <w:t xml:space="preserve"> byly:</w:t>
      </w:r>
    </w:p>
    <w:p w:rsidR="000F40B1" w:rsidRPr="0071520F" w:rsidRDefault="000F40B1" w:rsidP="007A43A7">
      <w:pPr>
        <w:pStyle w:val="Odstavecseseznamem"/>
        <w:numPr>
          <w:ilvl w:val="0"/>
          <w:numId w:val="6"/>
        </w:numPr>
      </w:pPr>
      <w:r w:rsidRPr="0071520F">
        <w:t>Zdrojové tabulky z MMB Oddělení implementace evropských fondů</w:t>
      </w:r>
    </w:p>
    <w:p w:rsidR="000F40B1" w:rsidRPr="0071520F" w:rsidRDefault="000F40B1" w:rsidP="007A43A7">
      <w:pPr>
        <w:pStyle w:val="Odstavecseseznamem"/>
        <w:numPr>
          <w:ilvl w:val="0"/>
          <w:numId w:val="6"/>
        </w:numPr>
      </w:pPr>
      <w:r w:rsidRPr="0071520F">
        <w:t>Zdrojové tabulky – Investiční záměry města</w:t>
      </w:r>
    </w:p>
    <w:p w:rsidR="000F40B1" w:rsidRPr="0071520F" w:rsidRDefault="000F40B1" w:rsidP="007A43A7">
      <w:pPr>
        <w:pStyle w:val="Odstavecseseznamem"/>
        <w:numPr>
          <w:ilvl w:val="0"/>
          <w:numId w:val="6"/>
        </w:numPr>
      </w:pPr>
      <w:r w:rsidRPr="0071520F">
        <w:t>Zdrojové tabulky – Regionální rada Jihovýchod.</w:t>
      </w:r>
    </w:p>
    <w:p w:rsidR="000F40B1" w:rsidRPr="0071520F" w:rsidRDefault="000F40B1" w:rsidP="007A43A7">
      <w:r w:rsidRPr="0071520F">
        <w:t xml:space="preserve">Jako doplnění byly pro rozšíření záběru studie přidány v konzultaci s Kanceláří strategie města Brna projekty program OP Výzkum a vývoj pro inovace financované v </w:t>
      </w:r>
      <w:r w:rsidR="00295175" w:rsidRPr="0071520F">
        <w:t>programovém</w:t>
      </w:r>
      <w:r w:rsidRPr="0071520F">
        <w:t xml:space="preserve"> období 2007-2013 na území města Brna.</w:t>
      </w:r>
      <w:r w:rsidRPr="0071520F">
        <w:rPr>
          <w:rStyle w:val="Znakapoznpodarou"/>
        </w:rPr>
        <w:footnoteReference w:id="1"/>
      </w:r>
      <w:r w:rsidR="00295175" w:rsidRPr="0071520F">
        <w:t xml:space="preserve"> Jejich význam je totiž pro současnou Strategii pro Brno</w:t>
      </w:r>
      <w:r w:rsidR="00060457">
        <w:t xml:space="preserve"> -</w:t>
      </w:r>
      <w:r w:rsidR="00295175" w:rsidRPr="0071520F">
        <w:t xml:space="preserve"> v rámci propagace strategického profilu města jako centra vzdělávání, výzkumu, vývoje, inovací a podnikání ve vyspělých technologiích </w:t>
      </w:r>
      <w:r w:rsidR="00060457">
        <w:t xml:space="preserve">- </w:t>
      </w:r>
      <w:r w:rsidR="00295175" w:rsidRPr="0071520F">
        <w:t>zvláště důležitý.</w:t>
      </w:r>
    </w:p>
    <w:p w:rsidR="001108F1" w:rsidRPr="0071520F" w:rsidRDefault="003357AE" w:rsidP="00060457">
      <w:pPr>
        <w:ind w:firstLine="360"/>
      </w:pPr>
      <w:r w:rsidRPr="0071520F">
        <w:t xml:space="preserve">Jelikož </w:t>
      </w:r>
      <w:r w:rsidR="00060457">
        <w:t>v rámci města Brna existuje mnoho</w:t>
      </w:r>
      <w:r w:rsidR="001108F1" w:rsidRPr="0071520F">
        <w:t xml:space="preserve"> rozlišných cílů</w:t>
      </w:r>
      <w:r w:rsidRPr="0071520F">
        <w:t xml:space="preserve"> </w:t>
      </w:r>
      <w:r w:rsidR="001108F1" w:rsidRPr="0071520F">
        <w:t>a logicky i stejně početné</w:t>
      </w:r>
      <w:r w:rsidR="00060457">
        <w:t xml:space="preserve"> množství projektů, které </w:t>
      </w:r>
      <w:r w:rsidRPr="0071520F">
        <w:t>zvyš</w:t>
      </w:r>
      <w:r w:rsidR="00060457">
        <w:t xml:space="preserve">ují jeho potenciál </w:t>
      </w:r>
      <w:r w:rsidRPr="0071520F">
        <w:t>a zlepš</w:t>
      </w:r>
      <w:r w:rsidR="00060457">
        <w:t>ují c</w:t>
      </w:r>
      <w:r w:rsidRPr="0071520F">
        <w:t>elkovou situaci</w:t>
      </w:r>
      <w:r w:rsidR="00942654" w:rsidRPr="0071520F">
        <w:t>, konkurenceschopnost a dynamický růst</w:t>
      </w:r>
      <w:r w:rsidRPr="0071520F">
        <w:t xml:space="preserve"> v rámci celé České republiky</w:t>
      </w:r>
      <w:r w:rsidR="001108F1" w:rsidRPr="0071520F">
        <w:t>, j</w:t>
      </w:r>
      <w:r w:rsidR="006107C3">
        <w:t>e nutné</w:t>
      </w:r>
      <w:r w:rsidR="001108F1" w:rsidRPr="0071520F">
        <w:t xml:space="preserve"> p</w:t>
      </w:r>
      <w:r w:rsidRPr="0071520F">
        <w:t>rojekty rozd</w:t>
      </w:r>
      <w:r w:rsidR="00942654" w:rsidRPr="0071520F">
        <w:t>ěl</w:t>
      </w:r>
      <w:r w:rsidR="006107C3">
        <w:t xml:space="preserve">it </w:t>
      </w:r>
      <w:r w:rsidR="00942654" w:rsidRPr="0071520F">
        <w:t>dle</w:t>
      </w:r>
      <w:r w:rsidR="006107C3">
        <w:t xml:space="preserve"> jasných a logických</w:t>
      </w:r>
      <w:r w:rsidR="00942654" w:rsidRPr="0071520F">
        <w:t xml:space="preserve"> strategií, které p</w:t>
      </w:r>
      <w:r w:rsidR="00060457">
        <w:t xml:space="preserve">opisují </w:t>
      </w:r>
      <w:r w:rsidR="006107C3">
        <w:t xml:space="preserve">jejich </w:t>
      </w:r>
      <w:r w:rsidR="00060457">
        <w:t>základní typologie</w:t>
      </w:r>
      <w:r w:rsidR="00942654" w:rsidRPr="0071520F">
        <w:t xml:space="preserve">. </w:t>
      </w:r>
      <w:r w:rsidR="001108F1" w:rsidRPr="0071520F">
        <w:t xml:space="preserve">Cílem </w:t>
      </w:r>
      <w:r w:rsidR="006107C3">
        <w:t xml:space="preserve">této </w:t>
      </w:r>
      <w:r w:rsidR="001108F1" w:rsidRPr="0071520F">
        <w:t xml:space="preserve">práce </w:t>
      </w:r>
      <w:r w:rsidR="00060457">
        <w:t xml:space="preserve">tak </w:t>
      </w:r>
      <w:r w:rsidR="001108F1" w:rsidRPr="0071520F">
        <w:t xml:space="preserve">bylo </w:t>
      </w:r>
      <w:r w:rsidR="006107C3" w:rsidRPr="0071520F">
        <w:t xml:space="preserve">zařadit </w:t>
      </w:r>
      <w:r w:rsidR="001108F1" w:rsidRPr="0071520F">
        <w:t xml:space="preserve">výše zmíněné projekty </w:t>
      </w:r>
      <w:r w:rsidR="006107C3">
        <w:t xml:space="preserve">právě </w:t>
      </w:r>
      <w:r w:rsidR="001108F1" w:rsidRPr="0071520F">
        <w:t xml:space="preserve">dle skeletu Strategie pro Brno a </w:t>
      </w:r>
      <w:r w:rsidR="006107C3">
        <w:t xml:space="preserve">následně </w:t>
      </w:r>
      <w:r w:rsidR="001108F1" w:rsidRPr="0071520F">
        <w:t>zjistit sumu investovaných finančních prostředků</w:t>
      </w:r>
      <w:r w:rsidR="006107C3">
        <w:t xml:space="preserve">. Vzhledem k tomu, že je však skelet Strategie pro Brno založen na třech úrovních – tedy </w:t>
      </w:r>
      <w:r w:rsidR="006107C3" w:rsidRPr="0071520F">
        <w:t>prioritách, cílech a opatření</w:t>
      </w:r>
      <w:r w:rsidR="006107C3">
        <w:t>ch – je nutné nejprve jejich základní představení</w:t>
      </w:r>
      <w:r w:rsidR="001108F1" w:rsidRPr="0071520F">
        <w:t>.</w:t>
      </w:r>
    </w:p>
    <w:p w:rsidR="003357AE" w:rsidRPr="0071520F" w:rsidRDefault="001108F1" w:rsidP="007A43A7">
      <w:pPr>
        <w:ind w:firstLine="360"/>
      </w:pPr>
      <w:r w:rsidRPr="0071520F">
        <w:t>Nejvyšš</w:t>
      </w:r>
      <w:r w:rsidR="00371D98" w:rsidRPr="0071520F">
        <w:t xml:space="preserve">í úrovní </w:t>
      </w:r>
      <w:r w:rsidR="006107C3">
        <w:t>Strategie pro Brno</w:t>
      </w:r>
      <w:r w:rsidR="00371D98" w:rsidRPr="0071520F">
        <w:t xml:space="preserve"> jsou priority a </w:t>
      </w:r>
      <w:r w:rsidR="006107C3">
        <w:t xml:space="preserve">tento </w:t>
      </w:r>
      <w:r w:rsidR="00371D98" w:rsidRPr="0071520F">
        <w:t>dokument jich</w:t>
      </w:r>
      <w:r w:rsidRPr="0071520F">
        <w:t xml:space="preserve"> uvádí</w:t>
      </w:r>
      <w:r w:rsidR="00942654" w:rsidRPr="0071520F">
        <w:t xml:space="preserve"> celkem pět:</w:t>
      </w:r>
    </w:p>
    <w:p w:rsidR="00942654" w:rsidRPr="0071520F" w:rsidRDefault="00942654" w:rsidP="007A43A7">
      <w:pPr>
        <w:pStyle w:val="Odstavecseseznamem"/>
        <w:numPr>
          <w:ilvl w:val="0"/>
          <w:numId w:val="7"/>
        </w:numPr>
      </w:pPr>
      <w:r w:rsidRPr="0071520F">
        <w:t>Image města a vnitřní/vnější vztahy</w:t>
      </w:r>
    </w:p>
    <w:p w:rsidR="00942654" w:rsidRPr="0071520F" w:rsidRDefault="00942654" w:rsidP="007A43A7">
      <w:pPr>
        <w:pStyle w:val="Odstavecseseznamem"/>
        <w:numPr>
          <w:ilvl w:val="0"/>
          <w:numId w:val="7"/>
        </w:numPr>
      </w:pPr>
      <w:r w:rsidRPr="0071520F">
        <w:t>Místní ekonomický rozvoj</w:t>
      </w:r>
    </w:p>
    <w:p w:rsidR="00942654" w:rsidRPr="0071520F" w:rsidRDefault="00942654" w:rsidP="007A43A7">
      <w:pPr>
        <w:pStyle w:val="Odstavecseseznamem"/>
        <w:numPr>
          <w:ilvl w:val="0"/>
          <w:numId w:val="7"/>
        </w:numPr>
      </w:pPr>
      <w:r w:rsidRPr="0071520F">
        <w:t>Kvalita života</w:t>
      </w:r>
    </w:p>
    <w:p w:rsidR="00942654" w:rsidRPr="0071520F" w:rsidRDefault="00942654" w:rsidP="007A43A7">
      <w:pPr>
        <w:pStyle w:val="Odstavecseseznamem"/>
        <w:numPr>
          <w:ilvl w:val="0"/>
          <w:numId w:val="7"/>
        </w:numPr>
      </w:pPr>
      <w:r w:rsidRPr="0071520F">
        <w:t>Výzkum, vývoj, inovace a vzdělávání</w:t>
      </w:r>
    </w:p>
    <w:p w:rsidR="00942654" w:rsidRPr="0071520F" w:rsidRDefault="00942654" w:rsidP="007A43A7">
      <w:pPr>
        <w:pStyle w:val="Odstavecseseznamem"/>
        <w:numPr>
          <w:ilvl w:val="0"/>
          <w:numId w:val="7"/>
        </w:numPr>
      </w:pPr>
      <w:r w:rsidRPr="0071520F">
        <w:t>Doprava a technická infrastruktura</w:t>
      </w:r>
    </w:p>
    <w:p w:rsidR="006107C3" w:rsidRDefault="000E2DAB" w:rsidP="005649FE">
      <w:r w:rsidRPr="0071520F">
        <w:t xml:space="preserve">Každá priorita </w:t>
      </w:r>
      <w:r w:rsidR="00371D98" w:rsidRPr="0071520F">
        <w:t xml:space="preserve">však </w:t>
      </w:r>
      <w:r w:rsidRPr="0071520F">
        <w:t>má své příležitosti, ale i problémy, které je potřeba odstranit, případně naopak silné stránky, které je možné v rámci projektu posílit. Vyvážením silných a slabých stránek by se každá strategie měla posílit natolik, aby se Brno stalo lepším městem p</w:t>
      </w:r>
      <w:r w:rsidR="001108F1" w:rsidRPr="0071520F">
        <w:t xml:space="preserve">ro práci, </w:t>
      </w:r>
      <w:r w:rsidR="006107C3">
        <w:lastRenderedPageBreak/>
        <w:t xml:space="preserve">studium, </w:t>
      </w:r>
      <w:r w:rsidR="001108F1" w:rsidRPr="0071520F">
        <w:t>ale hlavně pro život. Proto</w:t>
      </w:r>
      <w:r w:rsidR="00371D98" w:rsidRPr="0071520F">
        <w:t xml:space="preserve"> priority zároveň obsahují cíle a několik opatření, podle kterých je jednodušší projekty zařadit a které zároveň nesou strategickou vizi Brna. Podrobný výčet cílů (kterých je šest) a opatření (</w:t>
      </w:r>
      <w:r w:rsidR="00242E8A" w:rsidRPr="0071520F">
        <w:t>v počtu dvacet jedna</w:t>
      </w:r>
      <w:r w:rsidR="00371D98" w:rsidRPr="0071520F">
        <w:t>) tato práce uvádí pro zjednodušená až v rámci jednotlivých výsledků analýzy.</w:t>
      </w:r>
    </w:p>
    <w:p w:rsidR="005649FE" w:rsidRPr="0071520F" w:rsidRDefault="005649FE" w:rsidP="006107C3">
      <w:pPr>
        <w:ind w:firstLine="360"/>
      </w:pPr>
      <w:r>
        <w:t>Pro zlepšení celkového náhledu na problematiku projektů</w:t>
      </w:r>
      <w:r w:rsidR="006107C3">
        <w:t xml:space="preserve"> prováděných na území města Brna v daném časovém období</w:t>
      </w:r>
      <w:r>
        <w:t xml:space="preserve"> je pak analýza </w:t>
      </w:r>
      <w:r w:rsidR="006107C3">
        <w:t xml:space="preserve">v závěru </w:t>
      </w:r>
      <w:r>
        <w:t xml:space="preserve">doplněna o podrobnější popis financování jednotlivých cílů a nakonec i </w:t>
      </w:r>
      <w:r w:rsidR="006107C3">
        <w:t>o představení</w:t>
      </w:r>
      <w:r>
        <w:t xml:space="preserve"> </w:t>
      </w:r>
      <w:r w:rsidR="008B2EFD">
        <w:t xml:space="preserve">některých </w:t>
      </w:r>
      <w:r>
        <w:t>vybraných nejvýznamnějších projektů, které mohou i nadále viditelně ovlivňovat rozvoj, směřování i rozpočet města Brna.</w:t>
      </w:r>
    </w:p>
    <w:p w:rsidR="006107C3" w:rsidRDefault="00371D98" w:rsidP="005649FE">
      <w:pPr>
        <w:ind w:firstLine="360"/>
      </w:pPr>
      <w:r w:rsidRPr="0071520F">
        <w:t>Na závěr této kapitoly bychom ještě rádi upozornili n</w:t>
      </w:r>
      <w:r w:rsidR="006107C3">
        <w:t xml:space="preserve">a několik problémů, které mohou </w:t>
      </w:r>
      <w:r w:rsidRPr="0071520F">
        <w:t>výsledky</w:t>
      </w:r>
      <w:r w:rsidR="006107C3">
        <w:t xml:space="preserve"> analýzy</w:t>
      </w:r>
      <w:r w:rsidRPr="0071520F">
        <w:t xml:space="preserve"> ovlivňovat. Prvním faktem je to, že přiřazení některých </w:t>
      </w:r>
      <w:r w:rsidR="006107C3">
        <w:t xml:space="preserve">projektů pouze k jedné prioritě, </w:t>
      </w:r>
      <w:r w:rsidRPr="0071520F">
        <w:t>cíli</w:t>
      </w:r>
      <w:r w:rsidR="006107C3">
        <w:t xml:space="preserve">, či </w:t>
      </w:r>
      <w:r w:rsidRPr="0071520F">
        <w:t>opatření je mnohdy nemožné. Příkladem mohou být kompletní opravy ulic, které zlepšují jak životní prostředí a dopravu, tak rozvod energií, či odvod odpadních vod. Mnohé projekty zaměřené na opravy historických památek nejen že chrání naše kulturní dědictví, ale lákají turisty</w:t>
      </w:r>
      <w:r w:rsidR="006107C3">
        <w:t xml:space="preserve"> a zlepšují vnější obraz města.</w:t>
      </w:r>
    </w:p>
    <w:p w:rsidR="00371D98" w:rsidRPr="0071520F" w:rsidRDefault="00371D98" w:rsidP="005649FE">
      <w:pPr>
        <w:ind w:firstLine="360"/>
      </w:pPr>
      <w:r w:rsidRPr="0071520F">
        <w:t>Pokud přejdeme na konkrétní ukázky,</w:t>
      </w:r>
      <w:r w:rsidR="00C062D1" w:rsidRPr="0071520F">
        <w:t xml:space="preserve"> na kterých můžeme ukázat výsledné rozhodování, </w:t>
      </w:r>
      <w:r w:rsidRPr="0071520F">
        <w:t xml:space="preserve">pak </w:t>
      </w:r>
      <w:r w:rsidR="00C062D1" w:rsidRPr="0071520F">
        <w:t xml:space="preserve">např. </w:t>
      </w:r>
      <w:r w:rsidRPr="0071520F">
        <w:t xml:space="preserve">investice do </w:t>
      </w:r>
      <w:r w:rsidR="00C062D1" w:rsidRPr="0071520F">
        <w:t xml:space="preserve">jednotlivých </w:t>
      </w:r>
      <w:r w:rsidR="007218BE" w:rsidRPr="0071520F">
        <w:t xml:space="preserve">expozic </w:t>
      </w:r>
      <w:r w:rsidRPr="0071520F">
        <w:t xml:space="preserve">Zoologické zahrady města Brna nejen, že zlepšují </w:t>
      </w:r>
      <w:r w:rsidR="00C062D1" w:rsidRPr="0071520F">
        <w:t xml:space="preserve">možnosti spojené s podporou rozvoje cestovního ruchu </w:t>
      </w:r>
      <w:r w:rsidRPr="0071520F">
        <w:t xml:space="preserve">podle </w:t>
      </w:r>
      <w:r w:rsidR="007218BE" w:rsidRPr="0071520F">
        <w:t>opatření 2.1.3, ale rozšiřují možnosti podpory nabídky volnočasových aktivit na základě priority 3.1.2. V takovýchto případech jsme se pak rozhodovali podle převažující funkce. V tomto případě stránky Zoologické zahrady města Brna říkají, že je</w:t>
      </w:r>
      <w:r w:rsidR="005649FE">
        <w:t>jí návštěvníci jsou tvořeni z padesáti pěti</w:t>
      </w:r>
      <w:r w:rsidR="007218BE" w:rsidRPr="0071520F">
        <w:t xml:space="preserve"> procent občany Brna,</w:t>
      </w:r>
      <w:r w:rsidR="007218BE" w:rsidRPr="0071520F">
        <w:rPr>
          <w:rStyle w:val="Znakapoznpodarou"/>
        </w:rPr>
        <w:footnoteReference w:id="2"/>
      </w:r>
      <w:r w:rsidR="007218BE" w:rsidRPr="0071520F">
        <w:t xml:space="preserve"> proto jsou nakonec projekty určené do jejího rozvoje zařazeny podle druhého zmíněného opatření. Druhým příkladem mohou být například projekty spojené se zateplením, dopravní obslužností, či vybavením škol a školek. I přesto, že např. nová kuchyň a jídelna může pomoci i v rámci opatření 3.1.6, je tento projekt součástí rozvoje možností vzdělávání a proto je nakonec zařazen podle opatření 4.1.2. Na druhou stranu např. projekt </w:t>
      </w:r>
      <w:r w:rsidR="00242E8A" w:rsidRPr="0071520F">
        <w:t>t</w:t>
      </w:r>
      <w:r w:rsidR="007218BE" w:rsidRPr="0071520F">
        <w:t>echnického zhodnocení ohradní zdi ulice Jihlavská je sice součástí projektu úpravy Ústředního hřbitova</w:t>
      </w:r>
      <w:r w:rsidR="00242E8A" w:rsidRPr="0071520F">
        <w:t xml:space="preserve"> a tedy sociální politiky města, mohl by být vnímán jako snaha o zajištění bezpečnosti procházejících občanů</w:t>
      </w:r>
      <w:r w:rsidR="007218BE" w:rsidRPr="0071520F">
        <w:t xml:space="preserve">, </w:t>
      </w:r>
      <w:r w:rsidR="00242E8A" w:rsidRPr="0071520F">
        <w:t>nakonec je však zařazen podle opatření 3.1.5</w:t>
      </w:r>
      <w:r w:rsidR="006107C3">
        <w:t>,</w:t>
      </w:r>
      <w:r w:rsidR="00242E8A" w:rsidRPr="0071520F">
        <w:t xml:space="preserve"> neboť jeho funkce je především vnímána v rámci veřejných prostranství.</w:t>
      </w:r>
    </w:p>
    <w:p w:rsidR="00156DBB" w:rsidRDefault="00561B19" w:rsidP="005649FE">
      <w:pPr>
        <w:ind w:firstLine="360"/>
      </w:pPr>
      <w:r w:rsidRPr="0071520F">
        <w:t>Druhý problém</w:t>
      </w:r>
      <w:r w:rsidR="00242E8A" w:rsidRPr="0071520F">
        <w:t xml:space="preserve">, který musíme zmínit, je založen především na otázce zpracovávaných zdrojů. </w:t>
      </w:r>
      <w:r w:rsidR="001770F1">
        <w:t>Příkladem může být to, že</w:t>
      </w:r>
      <w:r w:rsidR="00242E8A" w:rsidRPr="0071520F">
        <w:t xml:space="preserve"> dokument pocházející od Regionální rady Jihovýchod je </w:t>
      </w:r>
      <w:r w:rsidR="00242E8A" w:rsidRPr="0071520F">
        <w:lastRenderedPageBreak/>
        <w:t>úplností údajů a zpracováním neporovnatelný s tabulkou Investičních záměrů města</w:t>
      </w:r>
      <w:r w:rsidR="006107C3">
        <w:t xml:space="preserve"> Brna</w:t>
      </w:r>
      <w:r w:rsidR="001770F1">
        <w:t>. Jde však i o otázku samotných projektů. Mnoho z nich je totiž stále</w:t>
      </w:r>
      <w:r w:rsidR="006107C3">
        <w:t xml:space="preserve"> n</w:t>
      </w:r>
      <w:r w:rsidR="00295175" w:rsidRPr="0071520F">
        <w:t>edokonč</w:t>
      </w:r>
      <w:r w:rsidR="001770F1">
        <w:t>e</w:t>
      </w:r>
      <w:r w:rsidR="006107C3">
        <w:t>ných</w:t>
      </w:r>
      <w:r w:rsidR="00295175" w:rsidRPr="0071520F">
        <w:t>, rozděl</w:t>
      </w:r>
      <w:r w:rsidR="001770F1">
        <w:t xml:space="preserve">ených na více fází a etap, </w:t>
      </w:r>
      <w:r w:rsidR="00295175" w:rsidRPr="0071520F">
        <w:t>či</w:t>
      </w:r>
      <w:r w:rsidR="001770F1">
        <w:t xml:space="preserve"> jsou financovány</w:t>
      </w:r>
      <w:r w:rsidR="00295175" w:rsidRPr="0071520F">
        <w:t xml:space="preserve"> skrze více zdrojů</w:t>
      </w:r>
      <w:r w:rsidR="001770F1">
        <w:t xml:space="preserve">. </w:t>
      </w:r>
      <w:r w:rsidR="00242E8A" w:rsidRPr="0071520F">
        <w:t>Přesto jsme se však snažili vyřadit projekty bez uvedené ceny, ty které nejsou schválené, nebo budou spadat až do období po konci roku 2015.</w:t>
      </w:r>
      <w:r w:rsidR="005649FE">
        <w:t xml:space="preserve"> V částech textu, které mluví o celkových počtech projektů a proinvestovaných částkách, pak byla v rámci zdrojových dat snaha o odhalení v tabulkách se </w:t>
      </w:r>
      <w:r w:rsidR="001770F1">
        <w:t xml:space="preserve">projektů </w:t>
      </w:r>
      <w:r w:rsidR="005649FE">
        <w:t>opakujících a odstranění zápisů s uvedenou menší zdrojovou cenou.</w:t>
      </w:r>
    </w:p>
    <w:p w:rsidR="009D0F60" w:rsidRPr="0071520F" w:rsidRDefault="009D0F60" w:rsidP="005649FE">
      <w:pPr>
        <w:ind w:firstLine="360"/>
        <w:rPr>
          <w:rFonts w:asciiTheme="majorHAnsi" w:eastAsiaTheme="majorEastAsia" w:hAnsiTheme="majorHAnsi"/>
          <w:b/>
          <w:bCs/>
          <w:kern w:val="32"/>
          <w:sz w:val="32"/>
          <w:szCs w:val="32"/>
        </w:rPr>
      </w:pPr>
      <w:r>
        <w:t xml:space="preserve">Třetí problém je pak spojen s rozkouskováním jednotlivých projektů do samostatných investičních záměrů. Příkladem může být </w:t>
      </w:r>
      <w:r w:rsidR="001D07C7">
        <w:t xml:space="preserve">níže podrobněji zmíněný projekt dostavby městské kanalizace a její opravy, do níž byly jen mezi březnem 2012 a únorem 2014 investovány 2 miliardy korun. Jako taková pak výrazně ovlivňovala městský rozpočet, paradoxně ale není v textu analýzy uvedena mezi největšími projekty. Lze ji totiž najít až v rámci jednotlivých projektů s logicky menší samostatnou cenou, pod názvy jako „N </w:t>
      </w:r>
      <w:proofErr w:type="spellStart"/>
      <w:r w:rsidR="001D07C7">
        <w:t>Jeneweinova</w:t>
      </w:r>
      <w:proofErr w:type="spellEnd"/>
      <w:r w:rsidR="001D07C7">
        <w:t xml:space="preserve"> a vodovod </w:t>
      </w:r>
      <w:proofErr w:type="spellStart"/>
      <w:r w:rsidR="001D07C7">
        <w:t>Komárov</w:t>
      </w:r>
      <w:proofErr w:type="spellEnd"/>
      <w:r w:rsidR="001D07C7">
        <w:t>“, „Oddílný kanalizační systém Brno – Bohunice“, či „</w:t>
      </w:r>
      <w:proofErr w:type="spellStart"/>
      <w:r w:rsidR="001D07C7">
        <w:t>Bosonohy</w:t>
      </w:r>
      <w:proofErr w:type="spellEnd"/>
      <w:r w:rsidR="001D07C7">
        <w:t xml:space="preserve"> II“.</w:t>
      </w:r>
    </w:p>
    <w:p w:rsidR="008B2EFD" w:rsidRDefault="008B2EFD">
      <w:pPr>
        <w:spacing w:after="200" w:line="276" w:lineRule="auto"/>
        <w:rPr>
          <w:rFonts w:asciiTheme="majorHAnsi" w:eastAsiaTheme="majorEastAsia" w:hAnsiTheme="majorHAnsi"/>
          <w:b/>
          <w:bCs/>
          <w:kern w:val="32"/>
          <w:sz w:val="32"/>
          <w:szCs w:val="32"/>
        </w:rPr>
      </w:pPr>
      <w:r>
        <w:br w:type="page"/>
      </w:r>
    </w:p>
    <w:p w:rsidR="000E2DAB" w:rsidRPr="0071520F" w:rsidRDefault="00242E8A" w:rsidP="007A43A7">
      <w:pPr>
        <w:pStyle w:val="Nadpis1"/>
        <w:numPr>
          <w:ilvl w:val="0"/>
          <w:numId w:val="5"/>
        </w:numPr>
      </w:pPr>
      <w:bookmarkStart w:id="4" w:name="_Toc407101583"/>
      <w:bookmarkStart w:id="5" w:name="_Toc410160005"/>
      <w:r w:rsidRPr="0071520F">
        <w:lastRenderedPageBreak/>
        <w:t>Analýza</w:t>
      </w:r>
      <w:bookmarkEnd w:id="4"/>
      <w:bookmarkEnd w:id="5"/>
    </w:p>
    <w:p w:rsidR="0013182A" w:rsidRPr="0071520F" w:rsidRDefault="0013182A" w:rsidP="007A43A7">
      <w:pPr>
        <w:ind w:firstLine="360"/>
      </w:pPr>
      <w:r w:rsidRPr="0071520F">
        <w:t>Jak již bylo zmíněno výše, hlavním cílem této studie je zjistit, jak byla naplňována Strategie pro Brno</w:t>
      </w:r>
      <w:r w:rsidR="008B2EFD">
        <w:t>. S</w:t>
      </w:r>
      <w:r w:rsidRPr="0071520F">
        <w:t>krze zařazení jednotlivých projektů do</w:t>
      </w:r>
      <w:r w:rsidR="008B2EFD">
        <w:t xml:space="preserve"> jejího</w:t>
      </w:r>
      <w:r w:rsidRPr="0071520F">
        <w:t xml:space="preserve"> skeletu pak můžeme dojít k výsledkům</w:t>
      </w:r>
      <w:r w:rsidR="008B2EFD">
        <w:t xml:space="preserve"> přibližných</w:t>
      </w:r>
      <w:r w:rsidRPr="0071520F">
        <w:t xml:space="preserve"> sum investovaných finančních prostředků v jednotlivých</w:t>
      </w:r>
      <w:r w:rsidR="008B2EFD">
        <w:t xml:space="preserve"> prioritách, cílech a opatření. </w:t>
      </w:r>
      <w:r w:rsidRPr="0071520F">
        <w:t>Dále tak</w:t>
      </w:r>
      <w:r w:rsidR="001770F1">
        <w:t xml:space="preserve"> v této kapitole</w:t>
      </w:r>
      <w:r w:rsidRPr="0071520F">
        <w:t xml:space="preserve"> budou uved</w:t>
      </w:r>
      <w:r w:rsidR="001770F1">
        <w:t>eny počty jednotlivých projektů a</w:t>
      </w:r>
      <w:r w:rsidRPr="0071520F">
        <w:t xml:space="preserve"> shrnutí cen v rámci priorit, cílů </w:t>
      </w:r>
      <w:r w:rsidR="001770F1">
        <w:t>i</w:t>
      </w:r>
      <w:r w:rsidRPr="0071520F">
        <w:t xml:space="preserve"> opatření</w:t>
      </w:r>
      <w:r w:rsidR="008B2EFD">
        <w:t xml:space="preserve">. Pro </w:t>
      </w:r>
      <w:r w:rsidR="001770F1">
        <w:t>lepší náhled do problematiky</w:t>
      </w:r>
      <w:r w:rsidR="008B2EFD">
        <w:t xml:space="preserve"> budou tato data doplněna i o </w:t>
      </w:r>
      <w:r w:rsidRPr="0071520F">
        <w:t>grafy a tři největší projekty v</w:t>
      </w:r>
      <w:r w:rsidR="008B2EFD">
        <w:t> </w:t>
      </w:r>
      <w:r w:rsidRPr="0071520F">
        <w:t>rá</w:t>
      </w:r>
      <w:r w:rsidR="008B2EFD">
        <w:t>mci jednotlivých priorit</w:t>
      </w:r>
      <w:r w:rsidRPr="0071520F">
        <w:t>.</w:t>
      </w:r>
    </w:p>
    <w:p w:rsidR="000E2DAB" w:rsidRPr="0071520F" w:rsidRDefault="0013182A" w:rsidP="007A43A7">
      <w:pPr>
        <w:pStyle w:val="Nadpis2"/>
        <w:numPr>
          <w:ilvl w:val="1"/>
          <w:numId w:val="5"/>
        </w:numPr>
      </w:pPr>
      <w:r w:rsidRPr="0071520F">
        <w:t xml:space="preserve"> </w:t>
      </w:r>
      <w:bookmarkStart w:id="6" w:name="_Toc407101584"/>
      <w:bookmarkStart w:id="7" w:name="_Toc410160006"/>
      <w:r w:rsidR="008144DD" w:rsidRPr="0071520F">
        <w:t>Priorita</w:t>
      </w:r>
      <w:r w:rsidRPr="0071520F">
        <w:t xml:space="preserve"> 1</w:t>
      </w:r>
      <w:r w:rsidR="008144DD" w:rsidRPr="0071520F">
        <w:t>: Image města a vnitřní</w:t>
      </w:r>
      <w:r w:rsidRPr="0071520F">
        <w:t xml:space="preserve"> </w:t>
      </w:r>
      <w:r w:rsidR="008144DD" w:rsidRPr="0071520F">
        <w:t>/ vnější vztahy</w:t>
      </w:r>
      <w:bookmarkEnd w:id="6"/>
      <w:bookmarkEnd w:id="7"/>
    </w:p>
    <w:p w:rsidR="008144DD" w:rsidRPr="0071520F" w:rsidRDefault="008144DD" w:rsidP="008544CE">
      <w:pPr>
        <w:ind w:firstLine="360"/>
      </w:pPr>
      <w:r w:rsidRPr="0071520F">
        <w:t xml:space="preserve">Cílem </w:t>
      </w:r>
      <w:r w:rsidR="0013182A" w:rsidRPr="0071520F">
        <w:t>první</w:t>
      </w:r>
      <w:r w:rsidRPr="0071520F">
        <w:t xml:space="preserve"> priority je</w:t>
      </w:r>
      <w:r w:rsidR="0013182A" w:rsidRPr="0071520F">
        <w:t xml:space="preserve"> podle Strategie pro Brno</w:t>
      </w:r>
      <w:r w:rsidRPr="0071520F">
        <w:t xml:space="preserve"> </w:t>
      </w:r>
      <w:r w:rsidR="0013182A" w:rsidRPr="0071520F">
        <w:t>získání</w:t>
      </w:r>
      <w:r w:rsidRPr="0071520F">
        <w:t xml:space="preserve"> pozitivní</w:t>
      </w:r>
      <w:r w:rsidR="0013182A" w:rsidRPr="0071520F">
        <w:t>ho</w:t>
      </w:r>
      <w:r w:rsidRPr="0071520F">
        <w:t xml:space="preserve"> a dynamick</w:t>
      </w:r>
      <w:r w:rsidR="0013182A" w:rsidRPr="0071520F">
        <w:t>ého</w:t>
      </w:r>
      <w:r w:rsidRPr="0071520F">
        <w:t xml:space="preserve"> profil</w:t>
      </w:r>
      <w:r w:rsidR="0013182A" w:rsidRPr="0071520F">
        <w:t>u</w:t>
      </w:r>
      <w:r w:rsidRPr="0071520F">
        <w:t xml:space="preserve"> města</w:t>
      </w:r>
      <w:r w:rsidR="0013182A" w:rsidRPr="0071520F">
        <w:t xml:space="preserve"> Brna</w:t>
      </w:r>
      <w:r w:rsidRPr="0071520F">
        <w:t>. Tím se zabývají i podcíle této skupiny. Jedná se o:</w:t>
      </w:r>
    </w:p>
    <w:p w:rsidR="008144DD" w:rsidRPr="0071520F" w:rsidRDefault="008144DD" w:rsidP="007A43A7">
      <w:pPr>
        <w:pStyle w:val="Odstavecseseznamem"/>
        <w:numPr>
          <w:ilvl w:val="2"/>
          <w:numId w:val="2"/>
        </w:numPr>
      </w:pPr>
      <w:r w:rsidRPr="0071520F">
        <w:t>Zlepšení vnitřní komunikace</w:t>
      </w:r>
    </w:p>
    <w:p w:rsidR="008144DD" w:rsidRPr="0071520F" w:rsidRDefault="008144DD" w:rsidP="007A43A7">
      <w:pPr>
        <w:pStyle w:val="Odstavecseseznamem"/>
        <w:numPr>
          <w:ilvl w:val="2"/>
          <w:numId w:val="2"/>
        </w:numPr>
      </w:pPr>
      <w:r w:rsidRPr="0071520F">
        <w:t>Efektivní vnější komunikace</w:t>
      </w:r>
    </w:p>
    <w:p w:rsidR="008144DD" w:rsidRPr="0071520F" w:rsidRDefault="008144DD" w:rsidP="007A43A7">
      <w:pPr>
        <w:pStyle w:val="Odstavecseseznamem"/>
        <w:numPr>
          <w:ilvl w:val="2"/>
          <w:numId w:val="2"/>
        </w:numPr>
      </w:pPr>
      <w:r w:rsidRPr="0071520F">
        <w:t>Propagace strategického profilu města jako centra vzdělávání, výzkumu, vývoje, inovací a podnikání ve vyspělých technologiích</w:t>
      </w:r>
    </w:p>
    <w:p w:rsidR="00514BBB" w:rsidRPr="0071520F" w:rsidRDefault="00514BBB" w:rsidP="007A43A7">
      <w:pPr>
        <w:ind w:firstLine="708"/>
      </w:pPr>
    </w:p>
    <w:p w:rsidR="008144DD" w:rsidRPr="0071520F" w:rsidRDefault="008144DD" w:rsidP="007A43A7">
      <w:pPr>
        <w:ind w:firstLine="708"/>
      </w:pPr>
      <w:r w:rsidRPr="0071520F">
        <w:t>V rámci této prio</w:t>
      </w:r>
      <w:r w:rsidR="0013182A" w:rsidRPr="0071520F">
        <w:t xml:space="preserve">rity bylo vytvořeno </w:t>
      </w:r>
      <w:r w:rsidR="00362BB9" w:rsidRPr="0071520F">
        <w:t>2</w:t>
      </w:r>
      <w:r w:rsidR="008B2EFD">
        <w:t>3</w:t>
      </w:r>
      <w:r w:rsidR="0013182A" w:rsidRPr="0071520F">
        <w:t xml:space="preserve"> projektů</w:t>
      </w:r>
      <w:r w:rsidR="00362BB9" w:rsidRPr="0071520F">
        <w:t xml:space="preserve"> (13 projektů v rámci opatření 1.1.1, 7 v rámci 1.1.2 a </w:t>
      </w:r>
      <w:r w:rsidR="008B2EFD">
        <w:t>3</w:t>
      </w:r>
      <w:r w:rsidR="00362BB9" w:rsidRPr="0071520F">
        <w:t xml:space="preserve"> v rámci 1.1.3)</w:t>
      </w:r>
      <w:r w:rsidR="0013182A" w:rsidRPr="0071520F">
        <w:t xml:space="preserve"> a c</w:t>
      </w:r>
      <w:r w:rsidRPr="0071520F">
        <w:t xml:space="preserve">elkové náklady za tyto projekty se vyšplhaly do výše </w:t>
      </w:r>
      <w:r w:rsidR="0013182A" w:rsidRPr="0071520F">
        <w:t xml:space="preserve">přibližně </w:t>
      </w:r>
      <w:r w:rsidR="003F19F3">
        <w:t>289</w:t>
      </w:r>
      <w:r w:rsidR="0013182A" w:rsidRPr="0071520F">
        <w:t xml:space="preserve"> mil.</w:t>
      </w:r>
      <w:r w:rsidRPr="0071520F">
        <w:t xml:space="preserve"> Kč.</w:t>
      </w:r>
    </w:p>
    <w:p w:rsidR="00362BB9" w:rsidRPr="0071520F" w:rsidRDefault="00362BB9" w:rsidP="007A43A7">
      <w:pPr>
        <w:ind w:firstLine="708"/>
      </w:pPr>
      <w:r w:rsidRPr="0071520F">
        <w:t>Pokud jde o tři největší projekty první priority, pak jsou to tyto:</w:t>
      </w:r>
    </w:p>
    <w:p w:rsidR="00362BB9" w:rsidRPr="0071520F" w:rsidRDefault="00362BB9" w:rsidP="007A43A7">
      <w:pPr>
        <w:pStyle w:val="Odstavecseseznamem"/>
        <w:numPr>
          <w:ilvl w:val="0"/>
          <w:numId w:val="8"/>
        </w:numPr>
      </w:pPr>
      <w:r w:rsidRPr="0071520F">
        <w:t>Metropolitní síť BRNO - 3. fáze propojení Magistrátu s úřady městských částí (71 mil. Kč)</w:t>
      </w:r>
    </w:p>
    <w:p w:rsidR="009F781E" w:rsidRPr="0071520F" w:rsidRDefault="00362BB9" w:rsidP="007A43A7">
      <w:pPr>
        <w:pStyle w:val="Odstavecseseznamem"/>
        <w:numPr>
          <w:ilvl w:val="0"/>
          <w:numId w:val="8"/>
        </w:numPr>
        <w:rPr>
          <w:rFonts w:ascii="Arial" w:eastAsia="Times New Roman" w:hAnsi="Arial" w:cs="Arial"/>
          <w:sz w:val="20"/>
          <w:szCs w:val="20"/>
          <w:lang w:eastAsia="cs-CZ" w:bidi="ar-SA"/>
        </w:rPr>
      </w:pPr>
      <w:r w:rsidRPr="0071520F">
        <w:t>Řízení a implementace ROP JV 2008 – Projekt propojený s celým Jihomoravským krajem, jehož sídlo je právě v městě Brně (51 mil. Kč)</w:t>
      </w:r>
    </w:p>
    <w:p w:rsidR="00362BB9" w:rsidRPr="0071520F" w:rsidRDefault="00362BB9" w:rsidP="007A43A7">
      <w:pPr>
        <w:pStyle w:val="Odstavecseseznamem"/>
        <w:numPr>
          <w:ilvl w:val="0"/>
          <w:numId w:val="8"/>
        </w:numPr>
        <w:rPr>
          <w:rFonts w:eastAsia="Times New Roman"/>
          <w:lang w:eastAsia="cs-CZ" w:bidi="ar-SA"/>
        </w:rPr>
      </w:pPr>
      <w:r w:rsidRPr="0071520F">
        <w:t xml:space="preserve">Digitalizace archivu města Brna </w:t>
      </w:r>
      <w:r w:rsidR="00FF69A8" w:rsidRPr="0071520F">
        <w:t>–</w:t>
      </w:r>
      <w:r w:rsidRPr="0071520F">
        <w:t xml:space="preserve"> Příklad</w:t>
      </w:r>
      <w:r w:rsidR="00FF69A8" w:rsidRPr="0071520F">
        <w:t xml:space="preserve"> projektu, který by si založil zařazení i do opatření zaměřeného na zachování kulturního dědictví. Archiv města Brna je však samostatným odborem Magistrátu města Brna a tedy i součástí první priority</w:t>
      </w:r>
      <w:r w:rsidR="009F781E" w:rsidRPr="0071520F">
        <w:t xml:space="preserve"> (</w:t>
      </w:r>
      <w:r w:rsidR="009F781E" w:rsidRPr="0071520F">
        <w:rPr>
          <w:rFonts w:eastAsia="Times New Roman"/>
          <w:lang w:eastAsia="cs-CZ" w:bidi="ar-SA"/>
        </w:rPr>
        <w:t>41 mil. Kč</w:t>
      </w:r>
      <w:r w:rsidR="009F781E" w:rsidRPr="0071520F">
        <w:t>)</w:t>
      </w:r>
    </w:p>
    <w:p w:rsidR="00FF69A8" w:rsidRPr="0071520F" w:rsidRDefault="00542E73" w:rsidP="00542E73">
      <w:pPr>
        <w:keepNext/>
        <w:jc w:val="center"/>
      </w:pPr>
      <w:r w:rsidRPr="00542E73">
        <w:rPr>
          <w:noProof/>
          <w:lang w:eastAsia="cs-CZ" w:bidi="ar-SA"/>
        </w:rPr>
        <w:lastRenderedPageBreak/>
        <w:drawing>
          <wp:inline distT="0" distB="0" distL="0" distR="0">
            <wp:extent cx="4572000" cy="2743200"/>
            <wp:effectExtent l="19050" t="0" r="19050" b="0"/>
            <wp:docPr id="29"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69A8" w:rsidRPr="0071520F" w:rsidRDefault="00FF69A8" w:rsidP="00D055BC">
      <w:pPr>
        <w:pStyle w:val="Titulek"/>
        <w:jc w:val="center"/>
      </w:pPr>
      <w:r w:rsidRPr="0071520F">
        <w:t xml:space="preserve">Priorita </w:t>
      </w:r>
      <w:r w:rsidR="001776F9" w:rsidRPr="0071520F">
        <w:fldChar w:fldCharType="begin"/>
      </w:r>
      <w:r w:rsidRPr="0071520F">
        <w:instrText xml:space="preserve"> SEQ Obrázek \* ARABIC </w:instrText>
      </w:r>
      <w:r w:rsidR="001776F9" w:rsidRPr="0071520F">
        <w:fldChar w:fldCharType="separate"/>
      </w:r>
      <w:r w:rsidRPr="0071520F">
        <w:rPr>
          <w:noProof/>
        </w:rPr>
        <w:t>1</w:t>
      </w:r>
      <w:r w:rsidR="001776F9" w:rsidRPr="0071520F">
        <w:fldChar w:fldCharType="end"/>
      </w:r>
      <w:r w:rsidRPr="0071520F">
        <w:t xml:space="preserve"> - Image města a vnitřní / vnější vztahy</w:t>
      </w:r>
    </w:p>
    <w:p w:rsidR="008144DD" w:rsidRPr="0071520F" w:rsidRDefault="008144DD" w:rsidP="007A43A7">
      <w:pPr>
        <w:pStyle w:val="Nadpis2"/>
        <w:numPr>
          <w:ilvl w:val="1"/>
          <w:numId w:val="5"/>
        </w:numPr>
      </w:pPr>
      <w:bookmarkStart w:id="8" w:name="_Toc407101585"/>
      <w:bookmarkStart w:id="9" w:name="_Toc410160007"/>
      <w:r w:rsidRPr="0071520F">
        <w:t>Priorita</w:t>
      </w:r>
      <w:r w:rsidR="0013182A" w:rsidRPr="0071520F">
        <w:t xml:space="preserve"> 2</w:t>
      </w:r>
      <w:r w:rsidRPr="0071520F">
        <w:t>: Místní ekonomický rozvoj</w:t>
      </w:r>
      <w:bookmarkEnd w:id="8"/>
      <w:bookmarkEnd w:id="9"/>
    </w:p>
    <w:p w:rsidR="008144DD" w:rsidRPr="0071520F" w:rsidRDefault="008144DD" w:rsidP="007A43A7">
      <w:pPr>
        <w:ind w:firstLine="360"/>
      </w:pPr>
      <w:r w:rsidRPr="0071520F">
        <w:t xml:space="preserve">Cílem této priority je </w:t>
      </w:r>
      <w:r w:rsidR="001D17E9" w:rsidRPr="0071520F">
        <w:t>posílit místní ekonomický rozvoj města Brna. Hlavními cíly je tak připravit Brno pro možnosti podnikání, vytvořit lepší místo, kde bude možné lépe obchodovat a především využít konkurenční výhody existence Brněnských veletrhů, které jsou známé nejen po České republice, ale i po světě. Priorita se tedy zabývá rozšířením kongresové turistiky, zlepšením prostorových podmínek nebo i využití potenciálu letiště v Tuřanech, které se stále více blíží mezinárodním standardům. Podcíle této priority jsou:</w:t>
      </w:r>
    </w:p>
    <w:p w:rsidR="001D17E9" w:rsidRPr="0071520F" w:rsidRDefault="001D17E9" w:rsidP="009D0F60">
      <w:pPr>
        <w:ind w:left="708"/>
        <w:jc w:val="left"/>
      </w:pPr>
      <w:r w:rsidRPr="0071520F">
        <w:t>2.1.1</w:t>
      </w:r>
      <w:r w:rsidR="0013182A" w:rsidRPr="0071520F">
        <w:t xml:space="preserve">. </w:t>
      </w:r>
      <w:r w:rsidRPr="0071520F">
        <w:t>Zlepšení prostorových a technických podmínek pro přímé investice do Brna</w:t>
      </w:r>
    </w:p>
    <w:p w:rsidR="001D17E9" w:rsidRPr="0071520F" w:rsidRDefault="001D17E9" w:rsidP="009D0F60">
      <w:pPr>
        <w:ind w:left="708"/>
        <w:jc w:val="left"/>
      </w:pPr>
      <w:r w:rsidRPr="0071520F">
        <w:t>2.1.2</w:t>
      </w:r>
      <w:r w:rsidR="0013182A" w:rsidRPr="0071520F">
        <w:t xml:space="preserve">. </w:t>
      </w:r>
      <w:r w:rsidRPr="0071520F">
        <w:t>Příprava brownfields k rozvoji podnikání včetně odstranění starých ekologických zátěží</w:t>
      </w:r>
    </w:p>
    <w:p w:rsidR="001D17E9" w:rsidRPr="0071520F" w:rsidRDefault="001D17E9" w:rsidP="009D0F60">
      <w:pPr>
        <w:ind w:left="708"/>
        <w:jc w:val="left"/>
      </w:pPr>
      <w:r w:rsidRPr="0071520F">
        <w:t>2.1.3</w:t>
      </w:r>
      <w:r w:rsidR="0013182A" w:rsidRPr="0071520F">
        <w:t>.</w:t>
      </w:r>
      <w:r w:rsidRPr="0071520F">
        <w:t xml:space="preserve"> Podpora rozvoje cestovního ruchu s důrazem na kongresovou turistiku</w:t>
      </w:r>
    </w:p>
    <w:p w:rsidR="001D17E9" w:rsidRPr="0071520F" w:rsidRDefault="001D17E9" w:rsidP="009D0F60">
      <w:pPr>
        <w:ind w:left="708"/>
        <w:jc w:val="left"/>
      </w:pPr>
      <w:r w:rsidRPr="0071520F">
        <w:t>2.1.4</w:t>
      </w:r>
      <w:r w:rsidR="0013182A" w:rsidRPr="0071520F">
        <w:t>.</w:t>
      </w:r>
      <w:r w:rsidRPr="0071520F">
        <w:t xml:space="preserve"> Využití ekonomického potenciálu letiště</w:t>
      </w:r>
    </w:p>
    <w:p w:rsidR="00246DC4" w:rsidRPr="0071520F" w:rsidRDefault="00246DC4" w:rsidP="007A43A7">
      <w:pPr>
        <w:ind w:left="708"/>
      </w:pPr>
    </w:p>
    <w:p w:rsidR="00514BBB" w:rsidRPr="0071520F" w:rsidRDefault="008144DD" w:rsidP="007A43A7">
      <w:pPr>
        <w:ind w:firstLine="708"/>
      </w:pPr>
      <w:r w:rsidRPr="0071520F">
        <w:t xml:space="preserve">V rámci této priority bylo vytvořeno </w:t>
      </w:r>
      <w:r w:rsidR="008B2EFD">
        <w:t>19</w:t>
      </w:r>
      <w:r w:rsidR="00514BBB" w:rsidRPr="0071520F">
        <w:t xml:space="preserve"> projektů</w:t>
      </w:r>
      <w:r w:rsidRPr="0071520F">
        <w:t xml:space="preserve"> </w:t>
      </w:r>
      <w:r w:rsidR="00514BBB" w:rsidRPr="0071520F">
        <w:t>(2 projekty v rámci opatření 2.1.1, 1 v rámci 2.1.2, 1</w:t>
      </w:r>
      <w:r w:rsidR="008B2EFD">
        <w:t>4</w:t>
      </w:r>
      <w:r w:rsidR="00514BBB" w:rsidRPr="0071520F">
        <w:t xml:space="preserve"> v rámci 2.1.3 a 2 v rámci 2.1.4) a celkové náklady za tyto projekty se vyšplhaly do výše přibližně </w:t>
      </w:r>
      <w:r w:rsidR="003F19F3">
        <w:t>704</w:t>
      </w:r>
      <w:r w:rsidR="00514BBB" w:rsidRPr="0071520F">
        <w:t xml:space="preserve"> mil. Kč.</w:t>
      </w:r>
    </w:p>
    <w:p w:rsidR="00514BBB" w:rsidRPr="0071520F" w:rsidRDefault="00514BBB" w:rsidP="007A43A7">
      <w:pPr>
        <w:ind w:firstLine="708"/>
      </w:pPr>
      <w:r w:rsidRPr="0071520F">
        <w:t xml:space="preserve">Pokud jde o tři největší projekty </w:t>
      </w:r>
      <w:r w:rsidR="005A3647" w:rsidRPr="0071520F">
        <w:t>druhé</w:t>
      </w:r>
      <w:r w:rsidRPr="0071520F">
        <w:t xml:space="preserve"> priority, pak jsou to tyto:</w:t>
      </w:r>
    </w:p>
    <w:p w:rsidR="009F781E" w:rsidRPr="0071520F" w:rsidRDefault="009F781E" w:rsidP="007A43A7">
      <w:pPr>
        <w:pStyle w:val="Odstavecseseznamem"/>
        <w:numPr>
          <w:ilvl w:val="0"/>
          <w:numId w:val="10"/>
        </w:numPr>
      </w:pPr>
      <w:r w:rsidRPr="0071520F">
        <w:t>Komplexní zabezpečení mezinárodního veřejného letiště Brno – Tuřany (202 mil. Kč)</w:t>
      </w:r>
    </w:p>
    <w:p w:rsidR="009F781E" w:rsidRPr="0071520F" w:rsidRDefault="009F781E" w:rsidP="007A43A7">
      <w:pPr>
        <w:pStyle w:val="Odstavecseseznamem"/>
        <w:numPr>
          <w:ilvl w:val="0"/>
          <w:numId w:val="10"/>
        </w:numPr>
      </w:pPr>
      <w:r w:rsidRPr="0071520F">
        <w:t xml:space="preserve">Zpřístupnění brněnského podzemí – Na rozdíl od konkrétních projektů určených na rekonstrukci jednotlivých částí historického podzemí je tento projekt důležitý </w:t>
      </w:r>
      <w:r w:rsidRPr="0071520F">
        <w:lastRenderedPageBreak/>
        <w:t>především pro zvýšení turistické atraktivity města Brna skrze lepší přístupnost památek (124 mil. Kč)</w:t>
      </w:r>
    </w:p>
    <w:p w:rsidR="009F781E" w:rsidRPr="0071520F" w:rsidRDefault="009F781E" w:rsidP="007A43A7">
      <w:pPr>
        <w:pStyle w:val="Odstavecseseznamem"/>
        <w:numPr>
          <w:ilvl w:val="0"/>
          <w:numId w:val="10"/>
        </w:numPr>
        <w:spacing w:before="240" w:after="240"/>
      </w:pPr>
      <w:r w:rsidRPr="0071520F">
        <w:t>Rekonstrukce a dostavba hotelu Maximus Resort (111 mil. Kč)</w:t>
      </w:r>
    </w:p>
    <w:p w:rsidR="008144DD" w:rsidRPr="0071520F" w:rsidRDefault="00542E73" w:rsidP="00542E73">
      <w:pPr>
        <w:spacing w:before="240"/>
        <w:jc w:val="center"/>
      </w:pPr>
      <w:r w:rsidRPr="00542E73">
        <w:rPr>
          <w:noProof/>
          <w:lang w:eastAsia="cs-CZ" w:bidi="ar-SA"/>
        </w:rPr>
        <w:drawing>
          <wp:inline distT="0" distB="0" distL="0" distR="0">
            <wp:extent cx="4572000" cy="2743200"/>
            <wp:effectExtent l="19050" t="0" r="19050" b="0"/>
            <wp:docPr id="30"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781E" w:rsidRPr="0071520F" w:rsidRDefault="009F781E" w:rsidP="00542E73">
      <w:pPr>
        <w:pStyle w:val="Titulek"/>
        <w:spacing w:after="0"/>
        <w:jc w:val="center"/>
      </w:pPr>
      <w:r w:rsidRPr="0071520F">
        <w:t>Priorita 2 - Místní ekonomický rozvoj</w:t>
      </w:r>
    </w:p>
    <w:p w:rsidR="008144DD" w:rsidRPr="0071520F" w:rsidRDefault="008144DD" w:rsidP="007A43A7">
      <w:pPr>
        <w:pStyle w:val="Nadpis2"/>
        <w:numPr>
          <w:ilvl w:val="1"/>
          <w:numId w:val="5"/>
        </w:numPr>
      </w:pPr>
      <w:bookmarkStart w:id="10" w:name="_Toc407101586"/>
      <w:bookmarkStart w:id="11" w:name="_Toc410160008"/>
      <w:r w:rsidRPr="0071520F">
        <w:t>Priorita</w:t>
      </w:r>
      <w:r w:rsidR="009F781E" w:rsidRPr="0071520F">
        <w:t xml:space="preserve"> 3</w:t>
      </w:r>
      <w:r w:rsidRPr="0071520F">
        <w:t>: Kvalita života</w:t>
      </w:r>
      <w:bookmarkEnd w:id="10"/>
      <w:bookmarkEnd w:id="11"/>
    </w:p>
    <w:p w:rsidR="008144DD" w:rsidRPr="0071520F" w:rsidRDefault="008144DD" w:rsidP="007A43A7">
      <w:pPr>
        <w:ind w:firstLine="360"/>
      </w:pPr>
      <w:r w:rsidRPr="0071520F">
        <w:t xml:space="preserve">Cílem </w:t>
      </w:r>
      <w:r w:rsidR="001D17E9" w:rsidRPr="0071520F">
        <w:t>priority číslo tři je postarat se o zlepšení kvality života v Brně. Jelikož jde o druhé největší město v České republice a studuje zde velké množství mladých lidí, je potřeba se postarat o to, že zde vzdělaní lidé zůstanou a předejít tak tzv.</w:t>
      </w:r>
      <w:r w:rsidR="009F781E" w:rsidRPr="0071520F">
        <w:t xml:space="preserve"> </w:t>
      </w:r>
      <w:r w:rsidR="001D17E9" w:rsidRPr="0071520F">
        <w:t>odlivu mozků. K tomu má napomoci rozvoj možností bydlení, ale i rozvoj služeb, které většina občanů vyhledává – jedná se především o aktivní využívání volného času, ať už jde o kulturní nebo sportovní vyžití. Velmi důležitým aspektem této priority je i sociální a zdravotní oblast. Podcíle této skupiny jsou následující:</w:t>
      </w:r>
    </w:p>
    <w:p w:rsidR="001D17E9" w:rsidRPr="0071520F" w:rsidRDefault="001D17E9" w:rsidP="007A43A7">
      <w:pPr>
        <w:ind w:left="708"/>
      </w:pPr>
      <w:r w:rsidRPr="0071520F">
        <w:t>3.1.1 Rozvoj variabilní nabídky bydlení</w:t>
      </w:r>
    </w:p>
    <w:p w:rsidR="001D17E9" w:rsidRPr="0071520F" w:rsidRDefault="001D17E9" w:rsidP="007A43A7">
      <w:pPr>
        <w:ind w:left="708"/>
      </w:pPr>
      <w:r w:rsidRPr="0071520F">
        <w:t>3.1.2 Podpora nabídky volnočasových aktivit, rekreace a sportu</w:t>
      </w:r>
    </w:p>
    <w:p w:rsidR="001D17E9" w:rsidRPr="0071520F" w:rsidRDefault="001D17E9" w:rsidP="007A43A7">
      <w:pPr>
        <w:ind w:left="708"/>
      </w:pPr>
      <w:r w:rsidRPr="0071520F">
        <w:t>3.1.3 Podpora rozvoje kulturního vyžití a zachování kulturního dědictví</w:t>
      </w:r>
    </w:p>
    <w:p w:rsidR="001D17E9" w:rsidRPr="0071520F" w:rsidRDefault="001D17E9" w:rsidP="007A43A7">
      <w:pPr>
        <w:ind w:left="708"/>
      </w:pPr>
      <w:r w:rsidRPr="0071520F">
        <w:t>3.1.4 Zajištění bezpečnosti obyvatel města</w:t>
      </w:r>
    </w:p>
    <w:p w:rsidR="001D17E9" w:rsidRPr="0071520F" w:rsidRDefault="001D17E9" w:rsidP="007A43A7">
      <w:pPr>
        <w:ind w:left="708"/>
      </w:pPr>
      <w:r w:rsidRPr="0071520F">
        <w:t>3.1.5 Zlepšení kvality veřejných prostranství a vybraných složek životního prostředí</w:t>
      </w:r>
    </w:p>
    <w:p w:rsidR="001D17E9" w:rsidRPr="0071520F" w:rsidRDefault="001D17E9" w:rsidP="007A43A7">
      <w:pPr>
        <w:ind w:left="708"/>
      </w:pPr>
      <w:r w:rsidRPr="0071520F">
        <w:t>3.1.6 Účinná politika města v sociální a zdravotní oblasti</w:t>
      </w:r>
    </w:p>
    <w:p w:rsidR="001D17E9" w:rsidRPr="0071520F" w:rsidRDefault="001D17E9" w:rsidP="007A43A7">
      <w:pPr>
        <w:ind w:left="708"/>
      </w:pPr>
    </w:p>
    <w:p w:rsidR="009D3014" w:rsidRPr="0071520F" w:rsidRDefault="009D3014" w:rsidP="007A43A7">
      <w:pPr>
        <w:ind w:firstLine="708"/>
      </w:pPr>
      <w:r w:rsidRPr="0071520F">
        <w:lastRenderedPageBreak/>
        <w:t>V rámci této priority bylo vytvořeno 2</w:t>
      </w:r>
      <w:r w:rsidR="008B2EFD">
        <w:t>06</w:t>
      </w:r>
      <w:r w:rsidRPr="0071520F">
        <w:t xml:space="preserve"> projektů (</w:t>
      </w:r>
      <w:r w:rsidR="008B2EFD">
        <w:t>17</w:t>
      </w:r>
      <w:r w:rsidRPr="0071520F">
        <w:t xml:space="preserve"> projektů v rámci opatření 3.1.1, </w:t>
      </w:r>
      <w:r w:rsidR="008B2EFD">
        <w:t>65</w:t>
      </w:r>
      <w:r w:rsidRPr="0071520F">
        <w:t xml:space="preserve"> v rámci 3.1.2, 4</w:t>
      </w:r>
      <w:r w:rsidR="008B2EFD">
        <w:t>1</w:t>
      </w:r>
      <w:r w:rsidRPr="0071520F">
        <w:t xml:space="preserve"> v rámci 3.1.3, 2 v rámci 3.1.4, </w:t>
      </w:r>
      <w:r w:rsidR="008B2EFD">
        <w:t>48</w:t>
      </w:r>
      <w:r w:rsidRPr="0071520F">
        <w:t xml:space="preserve"> v rámci 3.1.5 a 3</w:t>
      </w:r>
      <w:r w:rsidR="008B2EFD">
        <w:t>3</w:t>
      </w:r>
      <w:r w:rsidRPr="0071520F">
        <w:t xml:space="preserve"> v rámci </w:t>
      </w:r>
      <w:r w:rsidR="008B2EFD">
        <w:t>3</w:t>
      </w:r>
      <w:r w:rsidRPr="0071520F">
        <w:t xml:space="preserve">.1.6) a celkové náklady za tyto projekty se vyšplhaly do výše přibližně </w:t>
      </w:r>
      <w:r w:rsidR="003F19F3">
        <w:t>5 679</w:t>
      </w:r>
      <w:r w:rsidRPr="0071520F">
        <w:t xml:space="preserve"> mil. Kč.</w:t>
      </w:r>
    </w:p>
    <w:p w:rsidR="008144DD" w:rsidRPr="0071520F" w:rsidRDefault="009D3014" w:rsidP="007A43A7">
      <w:pPr>
        <w:ind w:firstLine="708"/>
      </w:pPr>
      <w:r w:rsidRPr="0071520F">
        <w:t xml:space="preserve">Pokud jde o tři největší projekty </w:t>
      </w:r>
      <w:r w:rsidR="005A3647" w:rsidRPr="0071520F">
        <w:t>třetí</w:t>
      </w:r>
      <w:r w:rsidRPr="0071520F">
        <w:t xml:space="preserve"> priority, pak jsou to tyto:</w:t>
      </w:r>
    </w:p>
    <w:p w:rsidR="005A3647" w:rsidRPr="0071520F" w:rsidRDefault="005A3647" w:rsidP="007A43A7">
      <w:pPr>
        <w:pStyle w:val="Odstavecseseznamem"/>
        <w:numPr>
          <w:ilvl w:val="0"/>
          <w:numId w:val="11"/>
        </w:numPr>
      </w:pPr>
      <w:r w:rsidRPr="0071520F">
        <w:t>Druhý etapa rekonstrukce NKP Špilberk, konkrétně jižního křídla (359 mil. Kč)</w:t>
      </w:r>
    </w:p>
    <w:p w:rsidR="005A3647" w:rsidRPr="0071520F" w:rsidRDefault="005A3647" w:rsidP="007A43A7">
      <w:pPr>
        <w:pStyle w:val="Odstavecseseznamem"/>
        <w:numPr>
          <w:ilvl w:val="0"/>
          <w:numId w:val="11"/>
        </w:numPr>
      </w:pPr>
      <w:r w:rsidRPr="0071520F">
        <w:t>Zlepšení veřejných prostranství v oblasti ulic Joštova, Moravské nám. a Komenského nám. (192 mil. Kč)</w:t>
      </w:r>
    </w:p>
    <w:p w:rsidR="009D3014" w:rsidRPr="0071520F" w:rsidRDefault="005A3647" w:rsidP="00655C56">
      <w:pPr>
        <w:pStyle w:val="Odstavecseseznamem"/>
        <w:numPr>
          <w:ilvl w:val="0"/>
          <w:numId w:val="11"/>
        </w:numPr>
        <w:spacing w:after="240"/>
      </w:pPr>
      <w:r w:rsidRPr="0071520F">
        <w:t>Vila Tugendhat – Rekonstrukce jedné z nejvýznamnějších funkcionalistických památek střední Evropy (169 mil. Kč)</w:t>
      </w:r>
    </w:p>
    <w:p w:rsidR="009D3014" w:rsidRPr="0071520F" w:rsidRDefault="00655C56" w:rsidP="00655C56">
      <w:pPr>
        <w:ind w:firstLine="708"/>
        <w:jc w:val="center"/>
      </w:pPr>
      <w:r w:rsidRPr="00655C56">
        <w:rPr>
          <w:noProof/>
          <w:lang w:eastAsia="cs-CZ" w:bidi="ar-SA"/>
        </w:rPr>
        <w:drawing>
          <wp:inline distT="0" distB="0" distL="0" distR="0">
            <wp:extent cx="4572000" cy="2743200"/>
            <wp:effectExtent l="19050" t="0" r="19050" b="0"/>
            <wp:docPr id="31"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3014" w:rsidRPr="0071520F" w:rsidRDefault="009D3014" w:rsidP="00542E73">
      <w:pPr>
        <w:pStyle w:val="Titulek"/>
        <w:spacing w:after="0"/>
        <w:jc w:val="center"/>
      </w:pPr>
      <w:r w:rsidRPr="0071520F">
        <w:t>Priorita 3 – Kvalita života</w:t>
      </w:r>
    </w:p>
    <w:p w:rsidR="008144DD" w:rsidRPr="0071520F" w:rsidRDefault="008144DD" w:rsidP="007A43A7">
      <w:pPr>
        <w:pStyle w:val="Nadpis2"/>
        <w:numPr>
          <w:ilvl w:val="1"/>
          <w:numId w:val="5"/>
        </w:numPr>
      </w:pPr>
      <w:bookmarkStart w:id="12" w:name="_Toc407101587"/>
      <w:bookmarkStart w:id="13" w:name="_Toc410160009"/>
      <w:r w:rsidRPr="0071520F">
        <w:t>Priorita</w:t>
      </w:r>
      <w:r w:rsidR="005A3647" w:rsidRPr="0071520F">
        <w:t xml:space="preserve"> 4</w:t>
      </w:r>
      <w:r w:rsidRPr="0071520F">
        <w:t>: Výzkum, vývoj, inovace a vzdělávání</w:t>
      </w:r>
      <w:bookmarkEnd w:id="12"/>
      <w:bookmarkEnd w:id="13"/>
    </w:p>
    <w:p w:rsidR="008144DD" w:rsidRPr="0071520F" w:rsidRDefault="001D17E9" w:rsidP="007A43A7">
      <w:pPr>
        <w:ind w:firstLine="360"/>
      </w:pPr>
      <w:r w:rsidRPr="0071520F">
        <w:t>Priorita číslo čtyři se zabývá vytvořením lepších podmínek pro vývoj, výzkum a inovace v Brně. Jedná se tedy především o podporu výzkumných pracovišť, které jsou převážně umisťovány při univerzitách, aby se tak co nejlépe rozšířila i vzdělanost s tím související. Do této priority je zařazeno i veškeré školství, které bezpodmínečně patří do politiky rozvoje lidských zdrojů. Priorita má následující body:</w:t>
      </w:r>
    </w:p>
    <w:p w:rsidR="001D17E9" w:rsidRPr="0071520F" w:rsidRDefault="001D17E9" w:rsidP="007A43A7">
      <w:pPr>
        <w:ind w:left="708"/>
      </w:pPr>
      <w:r w:rsidRPr="0071520F">
        <w:t>4.1.1 Zajištění infrastruktury pro výzkum, vývoj a tvorbu inovací</w:t>
      </w:r>
    </w:p>
    <w:p w:rsidR="001D17E9" w:rsidRPr="0071520F" w:rsidRDefault="001D17E9" w:rsidP="007A43A7">
      <w:pPr>
        <w:ind w:left="708"/>
      </w:pPr>
      <w:r w:rsidRPr="0071520F">
        <w:t>4.1.2 Účinná politika města v oblasti rozvoje lidských zdrojů</w:t>
      </w:r>
    </w:p>
    <w:p w:rsidR="001D17E9" w:rsidRPr="0071520F" w:rsidRDefault="001D17E9" w:rsidP="007A43A7"/>
    <w:p w:rsidR="005A3647" w:rsidRPr="0071520F" w:rsidRDefault="005A3647" w:rsidP="007A43A7">
      <w:pPr>
        <w:ind w:firstLine="708"/>
      </w:pPr>
      <w:r w:rsidRPr="0071520F">
        <w:lastRenderedPageBreak/>
        <w:t xml:space="preserve">V rámci této priority bylo vytvořeno </w:t>
      </w:r>
      <w:r w:rsidR="008B2EFD">
        <w:t>11</w:t>
      </w:r>
      <w:r w:rsidR="00BD7DAE" w:rsidRPr="0071520F">
        <w:t>1</w:t>
      </w:r>
      <w:r w:rsidRPr="0071520F">
        <w:t xml:space="preserve"> projektů (</w:t>
      </w:r>
      <w:r w:rsidR="00BD7DAE" w:rsidRPr="0071520F">
        <w:t>5</w:t>
      </w:r>
      <w:r w:rsidR="008B2EFD">
        <w:t>2</w:t>
      </w:r>
      <w:r w:rsidRPr="0071520F">
        <w:t xml:space="preserve"> projektů v rámci o</w:t>
      </w:r>
      <w:r w:rsidR="00BD7DAE" w:rsidRPr="0071520F">
        <w:t xml:space="preserve">patření 4.1.1 a </w:t>
      </w:r>
      <w:r w:rsidR="008B2EFD">
        <w:t>59</w:t>
      </w:r>
      <w:r w:rsidR="00BD7DAE" w:rsidRPr="0071520F">
        <w:t xml:space="preserve"> v rámci 4.1.2</w:t>
      </w:r>
      <w:r w:rsidRPr="0071520F">
        <w:t xml:space="preserve">) a celkové náklady za tyto projekty se vyšplhaly do výše přibližně </w:t>
      </w:r>
      <w:r w:rsidR="00BD7DAE" w:rsidRPr="0071520F">
        <w:t>30 </w:t>
      </w:r>
      <w:r w:rsidR="00D055BC">
        <w:t>664</w:t>
      </w:r>
      <w:r w:rsidR="00BD7DAE" w:rsidRPr="0071520F">
        <w:t xml:space="preserve"> </w:t>
      </w:r>
      <w:r w:rsidRPr="0071520F">
        <w:t>mil. Kč.</w:t>
      </w:r>
    </w:p>
    <w:p w:rsidR="005A3647" w:rsidRPr="0071520F" w:rsidRDefault="005A3647" w:rsidP="007A43A7">
      <w:pPr>
        <w:ind w:firstLine="708"/>
      </w:pPr>
      <w:r w:rsidRPr="0071520F">
        <w:t xml:space="preserve">Pokud jde o tři největší projekty </w:t>
      </w:r>
      <w:r w:rsidR="00BD7DAE" w:rsidRPr="0071520F">
        <w:t>čtvrté</w:t>
      </w:r>
      <w:r w:rsidRPr="0071520F">
        <w:t xml:space="preserve"> priority, pak jsou to tyto:</w:t>
      </w:r>
    </w:p>
    <w:p w:rsidR="00C029A4" w:rsidRPr="0071520F" w:rsidRDefault="00C029A4" w:rsidP="007A43A7">
      <w:pPr>
        <w:pStyle w:val="Odstavecseseznamem"/>
        <w:numPr>
          <w:ilvl w:val="0"/>
          <w:numId w:val="12"/>
        </w:numPr>
      </w:pPr>
      <w:r w:rsidRPr="0071520F">
        <w:t>CEITEC - středoevropský technologický institut (6 694 mil. Kč)</w:t>
      </w:r>
    </w:p>
    <w:p w:rsidR="00C029A4" w:rsidRPr="0071520F" w:rsidRDefault="00C029A4" w:rsidP="007A43A7">
      <w:pPr>
        <w:pStyle w:val="Odstavecseseznamem"/>
        <w:numPr>
          <w:ilvl w:val="0"/>
          <w:numId w:val="12"/>
        </w:numPr>
      </w:pPr>
      <w:r w:rsidRPr="0071520F">
        <w:t>Fakultní nemocnice u sv. Anny v Brně - Mezinárodní centrum klinického výzkumu (4 728 mil Kč.)</w:t>
      </w:r>
    </w:p>
    <w:p w:rsidR="00C029A4" w:rsidRPr="0071520F" w:rsidRDefault="00C029A4" w:rsidP="007A43A7">
      <w:pPr>
        <w:pStyle w:val="Odstavecseseznamem"/>
        <w:numPr>
          <w:ilvl w:val="0"/>
          <w:numId w:val="12"/>
        </w:numPr>
      </w:pPr>
      <w:r w:rsidRPr="0071520F">
        <w:t>Centrum excelence IT4Innovations - Evropské centrum excelentního výzkumu v oblasti IT (2 420 mil. Kč)</w:t>
      </w:r>
    </w:p>
    <w:p w:rsidR="008144DD" w:rsidRPr="0071520F" w:rsidRDefault="00655C56" w:rsidP="00655C56">
      <w:pPr>
        <w:spacing w:before="240"/>
        <w:jc w:val="center"/>
      </w:pPr>
      <w:r w:rsidRPr="00655C56">
        <w:rPr>
          <w:noProof/>
          <w:lang w:eastAsia="cs-CZ" w:bidi="ar-SA"/>
        </w:rPr>
        <w:drawing>
          <wp:inline distT="0" distB="0" distL="0" distR="0">
            <wp:extent cx="4572000" cy="2743200"/>
            <wp:effectExtent l="19050" t="0" r="19050" b="0"/>
            <wp:docPr id="32"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3647" w:rsidRPr="0071520F" w:rsidRDefault="005A3647" w:rsidP="00655C56">
      <w:pPr>
        <w:pStyle w:val="Titulek"/>
        <w:spacing w:after="0"/>
        <w:jc w:val="center"/>
      </w:pPr>
      <w:r w:rsidRPr="0071520F">
        <w:t>Priorita 4 – Výzkum, vývoj, inovace a vzdělávání</w:t>
      </w:r>
    </w:p>
    <w:p w:rsidR="008144DD" w:rsidRPr="0071520F" w:rsidRDefault="008144DD" w:rsidP="007A43A7">
      <w:pPr>
        <w:pStyle w:val="Nadpis2"/>
        <w:numPr>
          <w:ilvl w:val="1"/>
          <w:numId w:val="5"/>
        </w:numPr>
      </w:pPr>
      <w:bookmarkStart w:id="14" w:name="_Toc407101588"/>
      <w:bookmarkStart w:id="15" w:name="_Toc410160010"/>
      <w:r w:rsidRPr="0071520F">
        <w:t>Priorita</w:t>
      </w:r>
      <w:r w:rsidR="00C029A4" w:rsidRPr="0071520F">
        <w:t xml:space="preserve"> 5</w:t>
      </w:r>
      <w:r w:rsidRPr="0071520F">
        <w:t>: Doprava a technická infrastruktura</w:t>
      </w:r>
      <w:bookmarkEnd w:id="14"/>
      <w:bookmarkEnd w:id="15"/>
    </w:p>
    <w:p w:rsidR="008144DD" w:rsidRPr="0071520F" w:rsidRDefault="008144DD" w:rsidP="007A43A7">
      <w:pPr>
        <w:ind w:firstLine="360"/>
      </w:pPr>
      <w:r w:rsidRPr="0071520F">
        <w:t xml:space="preserve">Cílem této priority je </w:t>
      </w:r>
      <w:r w:rsidR="00A7061C" w:rsidRPr="0071520F">
        <w:t xml:space="preserve">zlepšit kvalitu vnitřní, ale i vnější dostupnosti města. Jako jediná má dva cíle, jelikož se zajímá i o komplexní hospodaření s energiemi a odpadními vodami, což je v poslední době velmi důležité téma. V rámci této priority se můžeme setkat například se snahou zajistit komfortnější městskou hromadnou dopravu či všeobecně snahu vyřešit problémy v infrastruktuře a snížit například problémy v nadměrné dopravě a parkování, což je jedním z hlavních problémů města – parkování v centru. Priorita </w:t>
      </w:r>
      <w:r w:rsidR="008B2EFD" w:rsidRPr="0071520F">
        <w:t>č. 5 je</w:t>
      </w:r>
      <w:r w:rsidR="00A7061C" w:rsidRPr="0071520F">
        <w:t xml:space="preserve"> rozdělena následovně:</w:t>
      </w:r>
    </w:p>
    <w:p w:rsidR="00A7061C" w:rsidRPr="0071520F" w:rsidRDefault="00A7061C" w:rsidP="007A43A7">
      <w:r w:rsidRPr="0071520F">
        <w:t>Cíl 5.1 Zlepšit kvalitu vnitřní a vnější dostupnosti města</w:t>
      </w:r>
    </w:p>
    <w:p w:rsidR="00A7061C" w:rsidRPr="0071520F" w:rsidRDefault="00A7061C" w:rsidP="007A43A7">
      <w:pPr>
        <w:ind w:left="708"/>
      </w:pPr>
      <w:r w:rsidRPr="0071520F">
        <w:t>5.1.1 Zajištění komfortní MHD, IDS</w:t>
      </w:r>
    </w:p>
    <w:p w:rsidR="00A7061C" w:rsidRPr="0071520F" w:rsidRDefault="00A7061C" w:rsidP="007A43A7">
      <w:pPr>
        <w:ind w:left="708"/>
      </w:pPr>
      <w:r w:rsidRPr="0071520F">
        <w:t>5.1.2 Řešení dopravy, ochrana centra před nadměrnou dopravou, parkování</w:t>
      </w:r>
    </w:p>
    <w:p w:rsidR="00A7061C" w:rsidRPr="0071520F" w:rsidRDefault="00A7061C" w:rsidP="007A43A7">
      <w:pPr>
        <w:ind w:left="708"/>
      </w:pPr>
      <w:r w:rsidRPr="0071520F">
        <w:lastRenderedPageBreak/>
        <w:t>5.1.3 Realizace projektu Europoint Brno (ŽUB) v návaznosti na dobudování městské infrastruktury</w:t>
      </w:r>
    </w:p>
    <w:p w:rsidR="00A7061C" w:rsidRPr="0071520F" w:rsidRDefault="00A7061C" w:rsidP="007A43A7">
      <w:r w:rsidRPr="0071520F">
        <w:t>Cíl 5.2 Zajistit komplexní hospodaření s energiemi, s povrchovými a odpadními vodami</w:t>
      </w:r>
    </w:p>
    <w:p w:rsidR="00A7061C" w:rsidRPr="0071520F" w:rsidRDefault="00A7061C" w:rsidP="007A43A7">
      <w:pPr>
        <w:ind w:left="708"/>
      </w:pPr>
      <w:r w:rsidRPr="0071520F">
        <w:t>5.2.1 Nakládání s povrchovými a odpadními vodami</w:t>
      </w:r>
    </w:p>
    <w:p w:rsidR="00A7061C" w:rsidRPr="0071520F" w:rsidRDefault="00A7061C" w:rsidP="007A43A7">
      <w:pPr>
        <w:ind w:left="708"/>
      </w:pPr>
      <w:r w:rsidRPr="0071520F">
        <w:t>5.2.2 Koncepce protipovodňové ochrany a revitalizace vodních toků a nádrží</w:t>
      </w:r>
    </w:p>
    <w:p w:rsidR="00A7061C" w:rsidRPr="0071520F" w:rsidRDefault="00A7061C" w:rsidP="007A43A7">
      <w:pPr>
        <w:ind w:left="708"/>
      </w:pPr>
      <w:r w:rsidRPr="0071520F">
        <w:t>5.2.3 Optimalizace zásobování města energiemi a městského odpadového hospodářství</w:t>
      </w:r>
    </w:p>
    <w:p w:rsidR="00C029A4" w:rsidRPr="0071520F" w:rsidRDefault="00C029A4" w:rsidP="007A43A7">
      <w:pPr>
        <w:ind w:firstLine="708"/>
      </w:pPr>
    </w:p>
    <w:p w:rsidR="00C029A4" w:rsidRPr="0071520F" w:rsidRDefault="00C029A4" w:rsidP="007A43A7">
      <w:pPr>
        <w:ind w:firstLine="708"/>
      </w:pPr>
      <w:r w:rsidRPr="0071520F">
        <w:t xml:space="preserve">V rámci této priority bylo vytvořeno </w:t>
      </w:r>
      <w:r w:rsidR="008B2EFD">
        <w:t>61</w:t>
      </w:r>
      <w:r w:rsidRPr="0071520F">
        <w:t xml:space="preserve"> projektů a celkové náklady za tyto projekty se vyšplhaly do výše přibližně </w:t>
      </w:r>
      <w:r w:rsidR="00D055BC">
        <w:t>6 978</w:t>
      </w:r>
      <w:r w:rsidR="004D4F0D" w:rsidRPr="0071520F">
        <w:t xml:space="preserve"> mil. Kč.</w:t>
      </w:r>
    </w:p>
    <w:p w:rsidR="00C029A4" w:rsidRPr="0071520F" w:rsidRDefault="00C029A4" w:rsidP="007A43A7">
      <w:pPr>
        <w:pStyle w:val="Odstavecseseznamem"/>
        <w:numPr>
          <w:ilvl w:val="0"/>
          <w:numId w:val="13"/>
        </w:numPr>
      </w:pPr>
      <w:r w:rsidRPr="0071520F">
        <w:t>V rámci cíle 5.1</w:t>
      </w:r>
      <w:r w:rsidR="004D4F0D" w:rsidRPr="0071520F">
        <w:t xml:space="preserve"> bylo vytvořeno 4</w:t>
      </w:r>
      <w:r w:rsidR="008B2EFD">
        <w:t>4</w:t>
      </w:r>
      <w:r w:rsidR="004D4F0D" w:rsidRPr="0071520F">
        <w:t xml:space="preserve"> projektů (2</w:t>
      </w:r>
      <w:r w:rsidR="008B2EFD">
        <w:t>0</w:t>
      </w:r>
      <w:r w:rsidR="004D4F0D" w:rsidRPr="0071520F">
        <w:t xml:space="preserve"> projektů v rámci opatření 5.1.1, 24 v rámci 5.1.2 a 0 v rámci 5.1.3) a celkové náklady za tyto projekty se vyšplhaly do výše přibližně </w:t>
      </w:r>
      <w:r w:rsidR="00D055BC">
        <w:t>3</w:t>
      </w:r>
      <w:r w:rsidR="004D4F0D" w:rsidRPr="0071520F">
        <w:t xml:space="preserve"> </w:t>
      </w:r>
      <w:r w:rsidR="00D055BC">
        <w:t>400</w:t>
      </w:r>
      <w:r w:rsidR="004D4F0D" w:rsidRPr="0071520F">
        <w:t xml:space="preserve"> mil. Kč.</w:t>
      </w:r>
    </w:p>
    <w:p w:rsidR="00C029A4" w:rsidRPr="0071520F" w:rsidRDefault="00C029A4" w:rsidP="007A43A7">
      <w:pPr>
        <w:pStyle w:val="Odstavecseseznamem"/>
        <w:numPr>
          <w:ilvl w:val="0"/>
          <w:numId w:val="13"/>
        </w:numPr>
      </w:pPr>
      <w:r w:rsidRPr="0071520F">
        <w:t>V rámci cíle 5.2</w:t>
      </w:r>
      <w:r w:rsidR="004D4F0D" w:rsidRPr="0071520F">
        <w:t xml:space="preserve"> bylo vytvořeno 1</w:t>
      </w:r>
      <w:r w:rsidR="008B2EFD">
        <w:t>7</w:t>
      </w:r>
      <w:r w:rsidR="004D4F0D" w:rsidRPr="0071520F">
        <w:t xml:space="preserve"> projektů (1</w:t>
      </w:r>
      <w:r w:rsidR="008B2EFD">
        <w:t>2</w:t>
      </w:r>
      <w:r w:rsidR="004D4F0D" w:rsidRPr="0071520F">
        <w:t xml:space="preserve"> projektů v rámci opatření 5.2.1, 0 v rámci 5.2.2 a 5 v rámci 5.2.3) a celkové náklady za tyto projekty se vyšplhaly do výše přibližně 3 5</w:t>
      </w:r>
      <w:r w:rsidR="00D055BC">
        <w:t>78</w:t>
      </w:r>
      <w:r w:rsidR="004D4F0D" w:rsidRPr="0071520F">
        <w:t xml:space="preserve"> mil. Kč.</w:t>
      </w:r>
    </w:p>
    <w:p w:rsidR="00C029A4" w:rsidRPr="0071520F" w:rsidRDefault="00C029A4" w:rsidP="007A43A7">
      <w:pPr>
        <w:ind w:firstLine="708"/>
      </w:pPr>
      <w:r w:rsidRPr="0071520F">
        <w:t xml:space="preserve">Pokud jde o tři největší projekty </w:t>
      </w:r>
      <w:r w:rsidR="00D055BC">
        <w:t>5.</w:t>
      </w:r>
      <w:r w:rsidRPr="0071520F">
        <w:t xml:space="preserve"> priority, pak jsou to tyto:</w:t>
      </w:r>
    </w:p>
    <w:p w:rsidR="00156DBB" w:rsidRPr="0071520F" w:rsidRDefault="00156DBB" w:rsidP="007A43A7">
      <w:pPr>
        <w:pStyle w:val="Odstavecseseznamem"/>
        <w:numPr>
          <w:ilvl w:val="0"/>
          <w:numId w:val="14"/>
        </w:numPr>
      </w:pPr>
      <w:r w:rsidRPr="0071520F">
        <w:t>Odpadové hosp. Brno, komplex látkového a energ. využití odpadu SAKO (2 020 mil. Kč)</w:t>
      </w:r>
    </w:p>
    <w:p w:rsidR="00156DBB" w:rsidRPr="0071520F" w:rsidRDefault="00156DBB" w:rsidP="007A43A7">
      <w:pPr>
        <w:pStyle w:val="Odstavecseseznamem"/>
        <w:numPr>
          <w:ilvl w:val="0"/>
          <w:numId w:val="14"/>
        </w:numPr>
      </w:pPr>
      <w:r w:rsidRPr="0071520F">
        <w:t>Retenční nádrž Jeneweinova a vodovod Komárov (655 mil. Kč)</w:t>
      </w:r>
    </w:p>
    <w:p w:rsidR="00C029A4" w:rsidRPr="0071520F" w:rsidRDefault="00156DBB" w:rsidP="007A43A7">
      <w:pPr>
        <w:pStyle w:val="Odstavecseseznamem"/>
        <w:numPr>
          <w:ilvl w:val="0"/>
          <w:numId w:val="14"/>
        </w:numPr>
      </w:pPr>
      <w:r w:rsidRPr="0071520F">
        <w:t>Obnova vozového parku drážních vozidel - nákup nízkopodlažních tramvají (539 mil. Kč)</w:t>
      </w:r>
    </w:p>
    <w:p w:rsidR="00C029A4" w:rsidRPr="0071520F" w:rsidRDefault="00C029A4" w:rsidP="007A43A7"/>
    <w:p w:rsidR="00156DBB" w:rsidRPr="0071520F" w:rsidRDefault="00036FE2" w:rsidP="00036FE2">
      <w:pPr>
        <w:jc w:val="center"/>
      </w:pPr>
      <w:r w:rsidRPr="00036FE2">
        <w:rPr>
          <w:noProof/>
          <w:lang w:eastAsia="cs-CZ" w:bidi="ar-SA"/>
        </w:rPr>
        <w:drawing>
          <wp:inline distT="0" distB="0" distL="0" distR="0">
            <wp:extent cx="4572000" cy="2743200"/>
            <wp:effectExtent l="19050" t="0" r="19050" b="0"/>
            <wp:docPr id="33"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6DBB" w:rsidRPr="0071520F" w:rsidRDefault="00156DBB" w:rsidP="00036FE2">
      <w:pPr>
        <w:pStyle w:val="Titulek"/>
        <w:spacing w:after="0"/>
        <w:jc w:val="center"/>
      </w:pPr>
      <w:r w:rsidRPr="0071520F">
        <w:t>Priorita 5 – Doprava a technická infrastruktura</w:t>
      </w:r>
    </w:p>
    <w:p w:rsidR="008144DD" w:rsidRPr="0071520F" w:rsidRDefault="00E65CC7" w:rsidP="007A43A7">
      <w:pPr>
        <w:pStyle w:val="Nadpis2"/>
        <w:numPr>
          <w:ilvl w:val="1"/>
          <w:numId w:val="5"/>
        </w:numPr>
      </w:pPr>
      <w:bookmarkStart w:id="16" w:name="_Toc407101589"/>
      <w:bookmarkStart w:id="17" w:name="_Toc410160011"/>
      <w:r>
        <w:lastRenderedPageBreak/>
        <w:t>S</w:t>
      </w:r>
      <w:r w:rsidR="008144DD" w:rsidRPr="0071520F">
        <w:t>hrnutí analýzy</w:t>
      </w:r>
      <w:bookmarkEnd w:id="16"/>
      <w:bookmarkEnd w:id="17"/>
    </w:p>
    <w:p w:rsidR="008144DD" w:rsidRPr="0071520F" w:rsidRDefault="00156DBB" w:rsidP="007A43A7">
      <w:r w:rsidRPr="0071520F">
        <w:tab/>
      </w:r>
      <w:r w:rsidR="008144DD" w:rsidRPr="0071520F">
        <w:t>V</w:t>
      </w:r>
      <w:r w:rsidR="005C3CBE" w:rsidRPr="0071520F">
        <w:t xml:space="preserve"> rámci čtyř výše zmíněných zdrojů </w:t>
      </w:r>
      <w:r w:rsidR="008144DD" w:rsidRPr="0071520F">
        <w:t>by</w:t>
      </w:r>
      <w:r w:rsidR="005C3CBE" w:rsidRPr="0071520F">
        <w:t>lo vytvořeno celkem 4</w:t>
      </w:r>
      <w:r w:rsidR="008B2EFD">
        <w:t>20</w:t>
      </w:r>
      <w:r w:rsidR="005C3CBE" w:rsidRPr="0071520F">
        <w:t xml:space="preserve"> projektů s udanou cenou a spadajících do programového období 2007-2014. Jejich c</w:t>
      </w:r>
      <w:r w:rsidR="008144DD" w:rsidRPr="0071520F">
        <w:t>elkové náklady byly sečteny ve výši</w:t>
      </w:r>
      <w:r w:rsidR="003F19F3">
        <w:t xml:space="preserve"> 44</w:t>
      </w:r>
      <w:r w:rsidR="005C3CBE" w:rsidRPr="0071520F">
        <w:t xml:space="preserve"> </w:t>
      </w:r>
      <w:r w:rsidR="003F19F3">
        <w:t>314</w:t>
      </w:r>
      <w:r w:rsidR="005C3CBE" w:rsidRPr="0071520F">
        <w:t xml:space="preserve"> </w:t>
      </w:r>
      <w:r w:rsidR="00655C56">
        <w:t>mil.</w:t>
      </w:r>
      <w:r w:rsidR="008144DD" w:rsidRPr="0071520F">
        <w:t xml:space="preserve"> Kč.</w:t>
      </w:r>
    </w:p>
    <w:p w:rsidR="008144DD" w:rsidRPr="0071520F" w:rsidRDefault="001770F1" w:rsidP="007A43A7">
      <w:pPr>
        <w:ind w:firstLine="360"/>
      </w:pPr>
      <w:r>
        <w:t>Na koláčovém grafu níže lze dále vidět rozložení projektů v rámci jednotlivých priorit Strategie pro Brno.</w:t>
      </w:r>
      <w:r w:rsidR="008B2EFD">
        <w:t xml:space="preserve"> Také je </w:t>
      </w:r>
      <w:r w:rsidR="008144DD" w:rsidRPr="0071520F">
        <w:t xml:space="preserve">z něj </w:t>
      </w:r>
      <w:r w:rsidR="008B2EFD">
        <w:t xml:space="preserve">patrné, </w:t>
      </w:r>
      <w:r w:rsidR="001D17E9" w:rsidRPr="0071520F">
        <w:t>kolik finančních prostředků bylo na projekty</w:t>
      </w:r>
      <w:r w:rsidR="008B2EFD">
        <w:t xml:space="preserve"> v rámci jednotlivých priorit</w:t>
      </w:r>
      <w:r w:rsidR="001D17E9" w:rsidRPr="0071520F">
        <w:t xml:space="preserve"> vynaloženo.</w:t>
      </w:r>
    </w:p>
    <w:p w:rsidR="005C3CBE" w:rsidRPr="0071520F" w:rsidRDefault="003F19F3" w:rsidP="003F19F3">
      <w:pPr>
        <w:ind w:firstLine="360"/>
        <w:jc w:val="center"/>
      </w:pPr>
      <w:r w:rsidRPr="003F19F3">
        <w:rPr>
          <w:noProof/>
          <w:lang w:eastAsia="cs-CZ" w:bidi="ar-SA"/>
        </w:rPr>
        <w:drawing>
          <wp:inline distT="0" distB="0" distL="0" distR="0">
            <wp:extent cx="4572000" cy="2743200"/>
            <wp:effectExtent l="19050" t="0" r="19050" b="0"/>
            <wp:docPr id="27"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3CBE" w:rsidRPr="0071520F" w:rsidRDefault="005C3CBE" w:rsidP="003F19F3">
      <w:pPr>
        <w:pStyle w:val="Titulek"/>
        <w:spacing w:after="0"/>
        <w:jc w:val="center"/>
      </w:pPr>
      <w:r w:rsidRPr="0071520F">
        <w:t>Rozložení financování jednotlivých priorit</w:t>
      </w:r>
    </w:p>
    <w:p w:rsidR="005C3CBE" w:rsidRPr="00E65CC7" w:rsidRDefault="00E65CC7" w:rsidP="00E65CC7">
      <w:pPr>
        <w:pStyle w:val="Nadpis2"/>
        <w:numPr>
          <w:ilvl w:val="1"/>
          <w:numId w:val="5"/>
        </w:numPr>
      </w:pPr>
      <w:bookmarkStart w:id="18" w:name="_Toc407101590"/>
      <w:bookmarkStart w:id="19" w:name="_Toc410160012"/>
      <w:r>
        <w:t>Jednotlivé zdrojové tabulky</w:t>
      </w:r>
      <w:bookmarkEnd w:id="18"/>
      <w:bookmarkEnd w:id="19"/>
    </w:p>
    <w:p w:rsidR="001D17E9" w:rsidRPr="0071520F" w:rsidRDefault="005C3CBE" w:rsidP="00E65CC7">
      <w:pPr>
        <w:spacing w:before="240"/>
        <w:ind w:firstLine="360"/>
      </w:pPr>
      <w:r w:rsidRPr="0071520F">
        <w:t>Vzhledem k v</w:t>
      </w:r>
      <w:r w:rsidR="001770F1">
        <w:t> druhé kapitole</w:t>
      </w:r>
      <w:r w:rsidRPr="0071520F">
        <w:t xml:space="preserve"> zmíněným problémům (rozdílná metodika jednotlivých zdrojů, opakování projektů atd.) však pro lepší přesnost uvedeme taktéž grafy k jednotlivým zdrojům, které by měly spíše reflektovat reálné financování jednotlivých priorit</w:t>
      </w:r>
      <w:r w:rsidR="007F42AC" w:rsidRPr="0071520F">
        <w:t xml:space="preserve"> a doporučujeme tedy se řídit prioritně jimi</w:t>
      </w:r>
      <w:r w:rsidRPr="0071520F">
        <w:t>.</w:t>
      </w:r>
      <w:r w:rsidR="007F42AC" w:rsidRPr="0071520F">
        <w:t xml:space="preserve"> Stejně tak vynecháme speciálně přidaný zdroj financování skrze program OP Výzkum a vývoj pro inovace, který celou analýzu posouvá velmi výrazně směrem</w:t>
      </w:r>
      <w:r w:rsidR="00262E6B" w:rsidRPr="0071520F">
        <w:t xml:space="preserve"> právě ke čtvrté prioritě, která se výzkumem a vývojem zabývá</w:t>
      </w:r>
      <w:r w:rsidR="007F42AC" w:rsidRPr="0071520F">
        <w:t>.</w:t>
      </w:r>
    </w:p>
    <w:p w:rsidR="005C3CBE" w:rsidRPr="0071520F" w:rsidRDefault="005C3CBE" w:rsidP="00DB1686">
      <w:pPr>
        <w:pStyle w:val="Nadpis3"/>
        <w:numPr>
          <w:ilvl w:val="2"/>
          <w:numId w:val="5"/>
        </w:numPr>
      </w:pPr>
      <w:bookmarkStart w:id="20" w:name="_Toc407101591"/>
      <w:bookmarkStart w:id="21" w:name="_Toc410160013"/>
      <w:r w:rsidRPr="0071520F">
        <w:lastRenderedPageBreak/>
        <w:t>Oddělení implementace evropských fondů</w:t>
      </w:r>
      <w:r w:rsidR="00E65CC7">
        <w:t xml:space="preserve"> </w:t>
      </w:r>
      <w:r w:rsidR="00E65CC7" w:rsidRPr="0071520F">
        <w:t>MMB</w:t>
      </w:r>
      <w:bookmarkEnd w:id="20"/>
      <w:bookmarkEnd w:id="21"/>
    </w:p>
    <w:p w:rsidR="007F42AC" w:rsidRPr="0071520F" w:rsidRDefault="007F42AC" w:rsidP="00DB1686">
      <w:pPr>
        <w:jc w:val="center"/>
      </w:pPr>
      <w:r w:rsidRPr="0071520F">
        <w:rPr>
          <w:noProof/>
          <w:lang w:eastAsia="cs-CZ" w:bidi="ar-SA"/>
        </w:rPr>
        <w:drawing>
          <wp:inline distT="0" distB="0" distL="0" distR="0">
            <wp:extent cx="4572000" cy="2743200"/>
            <wp:effectExtent l="19050" t="0" r="19050" b="0"/>
            <wp:docPr id="9"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42AC" w:rsidRPr="0071520F" w:rsidRDefault="007F42AC" w:rsidP="00DB1686">
      <w:pPr>
        <w:pStyle w:val="Titulek"/>
        <w:spacing w:after="0"/>
        <w:jc w:val="center"/>
      </w:pPr>
      <w:r w:rsidRPr="0071520F">
        <w:t>Rozložení financování jednotlivých priorit v</w:t>
      </w:r>
      <w:r w:rsidR="00262E6B" w:rsidRPr="0071520F">
        <w:t> </w:t>
      </w:r>
      <w:r w:rsidRPr="0071520F">
        <w:t>Kč</w:t>
      </w:r>
    </w:p>
    <w:p w:rsidR="00262E6B" w:rsidRPr="0071520F" w:rsidRDefault="00DB1686" w:rsidP="00DB1686">
      <w:pPr>
        <w:jc w:val="center"/>
      </w:pPr>
      <w:r w:rsidRPr="00DB1686">
        <w:rPr>
          <w:noProof/>
          <w:lang w:eastAsia="cs-CZ" w:bidi="ar-SA"/>
        </w:rPr>
        <w:drawing>
          <wp:inline distT="0" distB="0" distL="0" distR="0">
            <wp:extent cx="4572000" cy="2743200"/>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42AC" w:rsidRPr="0071520F" w:rsidRDefault="00262E6B" w:rsidP="00DB1686">
      <w:pPr>
        <w:pStyle w:val="Titulek"/>
        <w:spacing w:after="0"/>
        <w:jc w:val="center"/>
      </w:pPr>
      <w:r w:rsidRPr="0071520F">
        <w:t>Rozložení financování jednotlivých opatření v Kč</w:t>
      </w:r>
    </w:p>
    <w:p w:rsidR="005C3CBE" w:rsidRPr="0071520F" w:rsidRDefault="005C3CBE" w:rsidP="007A43A7">
      <w:pPr>
        <w:pStyle w:val="Nadpis3"/>
        <w:numPr>
          <w:ilvl w:val="2"/>
          <w:numId w:val="5"/>
        </w:numPr>
      </w:pPr>
      <w:bookmarkStart w:id="22" w:name="_Toc407101592"/>
      <w:bookmarkStart w:id="23" w:name="_Toc410160014"/>
      <w:r w:rsidRPr="0071520F">
        <w:lastRenderedPageBreak/>
        <w:t>Investiční záměry města</w:t>
      </w:r>
      <w:bookmarkEnd w:id="22"/>
      <w:bookmarkEnd w:id="23"/>
    </w:p>
    <w:p w:rsidR="007F42AC" w:rsidRPr="0071520F" w:rsidRDefault="00DB1686" w:rsidP="00DB1686">
      <w:pPr>
        <w:jc w:val="center"/>
      </w:pPr>
      <w:r w:rsidRPr="00DB1686">
        <w:rPr>
          <w:noProof/>
          <w:lang w:eastAsia="cs-CZ" w:bidi="ar-SA"/>
        </w:rPr>
        <w:drawing>
          <wp:inline distT="0" distB="0" distL="0" distR="0">
            <wp:extent cx="4572000" cy="2743200"/>
            <wp:effectExtent l="19050" t="0" r="19050" b="0"/>
            <wp:docPr id="4"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42AC" w:rsidRPr="0071520F" w:rsidRDefault="007F42AC" w:rsidP="00DB1686">
      <w:pPr>
        <w:pStyle w:val="Titulek"/>
        <w:spacing w:after="0"/>
        <w:jc w:val="center"/>
      </w:pPr>
      <w:r w:rsidRPr="0071520F">
        <w:t>Rozložení financování jednotlivých priorit v</w:t>
      </w:r>
      <w:r w:rsidR="00262E6B" w:rsidRPr="0071520F">
        <w:t> </w:t>
      </w:r>
      <w:r w:rsidRPr="0071520F">
        <w:t>Kč</w:t>
      </w:r>
    </w:p>
    <w:p w:rsidR="00262E6B" w:rsidRPr="0071520F" w:rsidRDefault="00DB1686" w:rsidP="00DB1686">
      <w:pPr>
        <w:jc w:val="center"/>
      </w:pPr>
      <w:r w:rsidRPr="00DB1686">
        <w:rPr>
          <w:noProof/>
          <w:lang w:eastAsia="cs-CZ" w:bidi="ar-SA"/>
        </w:rPr>
        <w:drawing>
          <wp:inline distT="0" distB="0" distL="0" distR="0">
            <wp:extent cx="4638676" cy="3076575"/>
            <wp:effectExtent l="19050" t="0" r="28574" b="0"/>
            <wp:docPr id="14"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62E6B" w:rsidRPr="0071520F" w:rsidRDefault="00262E6B" w:rsidP="00DB1686">
      <w:pPr>
        <w:pStyle w:val="Titulek"/>
        <w:spacing w:after="0"/>
        <w:jc w:val="center"/>
      </w:pPr>
      <w:r w:rsidRPr="0071520F">
        <w:t>Rozložení financování jednotlivých opatření v Kč</w:t>
      </w:r>
    </w:p>
    <w:p w:rsidR="005C3CBE" w:rsidRPr="0071520F" w:rsidRDefault="005C3CBE" w:rsidP="007A43A7">
      <w:pPr>
        <w:pStyle w:val="Nadpis3"/>
        <w:numPr>
          <w:ilvl w:val="2"/>
          <w:numId w:val="5"/>
        </w:numPr>
      </w:pPr>
      <w:bookmarkStart w:id="24" w:name="_Toc407101593"/>
      <w:bookmarkStart w:id="25" w:name="_Toc410160015"/>
      <w:r w:rsidRPr="0071520F">
        <w:lastRenderedPageBreak/>
        <w:t>Regionální rada Jihovýchod.</w:t>
      </w:r>
      <w:bookmarkEnd w:id="24"/>
      <w:bookmarkEnd w:id="25"/>
    </w:p>
    <w:p w:rsidR="005C3CBE" w:rsidRPr="0071520F" w:rsidRDefault="00DB1686" w:rsidP="00DB1686">
      <w:pPr>
        <w:pStyle w:val="Nadpis3"/>
        <w:jc w:val="center"/>
      </w:pPr>
      <w:r w:rsidRPr="00DB1686">
        <w:rPr>
          <w:noProof/>
          <w:lang w:eastAsia="cs-CZ" w:bidi="ar-SA"/>
        </w:rPr>
        <w:drawing>
          <wp:inline distT="0" distB="0" distL="0" distR="0">
            <wp:extent cx="4572000" cy="2743200"/>
            <wp:effectExtent l="19050" t="0" r="19050" b="0"/>
            <wp:docPr id="1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42AC" w:rsidRPr="0071520F" w:rsidRDefault="007F42AC" w:rsidP="00DB1686">
      <w:pPr>
        <w:pStyle w:val="Titulek"/>
        <w:spacing w:after="0"/>
        <w:jc w:val="center"/>
      </w:pPr>
      <w:r w:rsidRPr="0071520F">
        <w:t>Rozložení financování jednotlivých priorit v Kč</w:t>
      </w:r>
    </w:p>
    <w:p w:rsidR="00262E6B" w:rsidRPr="0071520F" w:rsidRDefault="00DB1686" w:rsidP="00DB1686">
      <w:pPr>
        <w:jc w:val="center"/>
      </w:pPr>
      <w:r w:rsidRPr="00DB1686">
        <w:rPr>
          <w:noProof/>
          <w:lang w:eastAsia="cs-CZ" w:bidi="ar-SA"/>
        </w:rPr>
        <w:drawing>
          <wp:inline distT="0" distB="0" distL="0" distR="0">
            <wp:extent cx="4572000" cy="2743200"/>
            <wp:effectExtent l="19050" t="0" r="19050" b="0"/>
            <wp:docPr id="21"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04B6" w:rsidRPr="00DB1686" w:rsidRDefault="00262E6B" w:rsidP="00DB1686">
      <w:pPr>
        <w:pStyle w:val="Titulek"/>
        <w:spacing w:after="0"/>
        <w:jc w:val="center"/>
      </w:pPr>
      <w:r w:rsidRPr="0071520F">
        <w:t>Rozložení financování jednotlivých opatření v Kč</w:t>
      </w:r>
    </w:p>
    <w:p w:rsidR="00DB1686" w:rsidRDefault="00DB1686">
      <w:pPr>
        <w:spacing w:after="200" w:line="276" w:lineRule="auto"/>
        <w:rPr>
          <w:rFonts w:asciiTheme="majorHAnsi" w:eastAsiaTheme="majorEastAsia" w:hAnsiTheme="majorHAnsi"/>
          <w:b/>
          <w:bCs/>
          <w:kern w:val="32"/>
          <w:sz w:val="32"/>
          <w:szCs w:val="32"/>
        </w:rPr>
      </w:pPr>
      <w:r>
        <w:br w:type="page"/>
      </w:r>
    </w:p>
    <w:p w:rsidR="006E2678" w:rsidRPr="006E2678" w:rsidRDefault="006E2678" w:rsidP="006E2678">
      <w:pPr>
        <w:pStyle w:val="Nadpis1"/>
        <w:numPr>
          <w:ilvl w:val="0"/>
          <w:numId w:val="5"/>
        </w:numPr>
      </w:pPr>
      <w:bookmarkStart w:id="26" w:name="_Toc407101594"/>
      <w:bookmarkStart w:id="27" w:name="_Toc410160016"/>
      <w:r w:rsidRPr="006E2678">
        <w:lastRenderedPageBreak/>
        <w:t>Investice v</w:t>
      </w:r>
      <w:r w:rsidR="00DB1686">
        <w:t> rámci jednotlivých</w:t>
      </w:r>
      <w:r w:rsidRPr="006E2678">
        <w:t xml:space="preserve"> cíl</w:t>
      </w:r>
      <w:r w:rsidR="00DB1686">
        <w:t xml:space="preserve">ů </w:t>
      </w:r>
      <w:r w:rsidRPr="006E2678">
        <w:t>Strategie pro Brno</w:t>
      </w:r>
      <w:bookmarkEnd w:id="26"/>
      <w:bookmarkEnd w:id="27"/>
    </w:p>
    <w:p w:rsidR="00113DD2" w:rsidRPr="0071520F" w:rsidRDefault="00113DD2" w:rsidP="007A43A7">
      <w:pPr>
        <w:ind w:firstLine="360"/>
      </w:pPr>
      <w:r w:rsidRPr="0071520F">
        <w:t>Pokud jde o zhodnocení investic v rámci jednotlivých cílů Strategie pro Brno, tak vidíme následující směřování:</w:t>
      </w:r>
    </w:p>
    <w:p w:rsidR="00113DD2" w:rsidRPr="0071520F" w:rsidRDefault="00113DD2" w:rsidP="007A43A7">
      <w:pPr>
        <w:ind w:firstLine="360"/>
      </w:pPr>
      <w:r w:rsidRPr="006E2678">
        <w:rPr>
          <w:b/>
        </w:rPr>
        <w:t>Cíl 1.1</w:t>
      </w:r>
      <w:r w:rsidRPr="0071520F">
        <w:t xml:space="preserve"> je ze všech cílů nejméně financovaným směřováním města. Vzhledem k tomu, že jde o zaměření na vnitřní a vnější komunikaci, která je dále spojená s propagací strategického profilu města, nelze se mnoho divit. Jde totiž především o věci spojené se záležitostmi </w:t>
      </w:r>
      <w:r w:rsidR="006F3878" w:rsidRPr="0071520F">
        <w:t>organizačními, a proto</w:t>
      </w:r>
      <w:r w:rsidRPr="0071520F">
        <w:t xml:space="preserve"> nejdražší </w:t>
      </w:r>
      <w:r w:rsidR="006F3878" w:rsidRPr="0071520F">
        <w:t xml:space="preserve">částí financování </w:t>
      </w:r>
      <w:r w:rsidRPr="0071520F">
        <w:t>jsou</w:t>
      </w:r>
      <w:r w:rsidR="006F3878" w:rsidRPr="0071520F">
        <w:t xml:space="preserve"> až záležitosti</w:t>
      </w:r>
      <w:r w:rsidRPr="0071520F">
        <w:t xml:space="preserve"> technické. Přesto by však město Brno tento cíl nemělo přehlížet a dále se snažit o lepší profil vůči okolí i svým vlastním občanům.</w:t>
      </w:r>
      <w:r w:rsidR="006F3878" w:rsidRPr="0071520F">
        <w:t xml:space="preserve"> Transparentnost, pozitivní nádech a jasně vymezené směřování města, které ví, kam jde, je vždy přínosem.</w:t>
      </w:r>
    </w:p>
    <w:p w:rsidR="002107FC" w:rsidRPr="0071520F" w:rsidRDefault="00113DD2" w:rsidP="007A43A7">
      <w:pPr>
        <w:ind w:firstLine="360"/>
      </w:pPr>
      <w:r w:rsidRPr="006E2678">
        <w:rPr>
          <w:b/>
        </w:rPr>
        <w:t>Cíl 2.1</w:t>
      </w:r>
      <w:r w:rsidRPr="0071520F">
        <w:t xml:space="preserve"> se snaží připravit město Brno k rozvoji podnikání, přesto je to druhý finančně nejméně rozvíjený směr. </w:t>
      </w:r>
      <w:r w:rsidR="006F3878" w:rsidRPr="0071520F">
        <w:t>Přitom všechny opatření v cíli obsažené a to jak rozvoj podmínek pro investice, příprava brownfields a odstranění ekologické zátěže, tak podpora cestovního ruchu, či využití ekonomického potenciálu letiště jsou věci pro město Brno a jeho rozvoj zásadně důležité. Další podpora investic v oblasti Černovických teras, areálu v okolí letiště, další podnikání v Technologickém parku, či v oblasti okolo Heršpické a přeměna opuštěných nejen továrních oblastí může městu Brnu pomoci na dlouhá léta dopředu.</w:t>
      </w:r>
    </w:p>
    <w:p w:rsidR="006F3878" w:rsidRPr="0071520F" w:rsidRDefault="006F3878" w:rsidP="007A43A7">
      <w:pPr>
        <w:ind w:firstLine="360"/>
      </w:pPr>
      <w:r w:rsidRPr="0071520F">
        <w:t>Pokud jde o snahu dosáhnout vyšší atraktivity života ve městě Brně, která je obsažena v </w:t>
      </w:r>
      <w:r w:rsidRPr="006E2678">
        <w:rPr>
          <w:b/>
        </w:rPr>
        <w:t>cíli 3.1</w:t>
      </w:r>
      <w:r w:rsidRPr="0071520F">
        <w:t>, je zjevné, že je plněna více než dobře. Ve výše uvedených grafech je vidět velmi dobré financování jak na úrovni města, tak skrze evropské fondy. Jediná patrná je absence investic do opatření, které směřuje na zajištění bezpečnosti obyvatel města Brna.</w:t>
      </w:r>
      <w:r w:rsidR="00450810" w:rsidRPr="0071520F">
        <w:t xml:space="preserve"> Pozitivně kvitujeme taktéž směřování k lepšímu rozvoji kvality veřejných prostranství a životního prostředí všeobecně, které jsou nejlépe financovaným opatřením, čímž se rozhodně cíl 3.1 daří postupně plnit.</w:t>
      </w:r>
    </w:p>
    <w:p w:rsidR="00450810" w:rsidRPr="0071520F" w:rsidRDefault="00450810" w:rsidP="0024625E">
      <w:pPr>
        <w:ind w:firstLine="360"/>
      </w:pPr>
      <w:r w:rsidRPr="0071520F">
        <w:t xml:space="preserve">Při pohledu na součet všech zkoumaných zdrojů projektů se </w:t>
      </w:r>
      <w:r w:rsidRPr="006E2678">
        <w:rPr>
          <w:b/>
        </w:rPr>
        <w:t>cíl 4.1</w:t>
      </w:r>
      <w:r w:rsidRPr="0071520F">
        <w:t xml:space="preserve"> zaměřený na vytvoření podmínek pro příchod a udržení elit ve městě daří plnit více než dobře. Je to však hlavně ovlivněno výběrem zdrojů. Při odstranění programu OP Výzkum a vývoj pro inovace se již tento cíl stává třetím nejlépe financovanou prioritou města. I tak je však velmi důležitou součástí současnosti a budoucnosti města Brna, neboť</w:t>
      </w:r>
      <w:r w:rsidR="0024625E">
        <w:t xml:space="preserve"> ve spojení s jeho profilací může být toto </w:t>
      </w:r>
      <w:r w:rsidRPr="0071520F">
        <w:t>„studentské město“ směřované na „vývoj, výzkum a inovace“ ve světě</w:t>
      </w:r>
      <w:r w:rsidR="0024625E">
        <w:t xml:space="preserve"> do budoucna</w:t>
      </w:r>
      <w:r w:rsidRPr="0071520F">
        <w:t xml:space="preserve"> známé, jako středoevropská verze Silicon valley.</w:t>
      </w:r>
    </w:p>
    <w:p w:rsidR="00450810" w:rsidRPr="0071520F" w:rsidRDefault="008717E7" w:rsidP="007A43A7">
      <w:pPr>
        <w:ind w:firstLine="360"/>
      </w:pPr>
      <w:r w:rsidRPr="006E2678">
        <w:rPr>
          <w:b/>
        </w:rPr>
        <w:t>Cíl 5.1</w:t>
      </w:r>
      <w:r w:rsidRPr="0071520F">
        <w:t xml:space="preserve">, který se snaží o zlepšení vnitřní a vnější dostupnosti města, je sice financován velmi dobře, je to však především zásluhou evropských fondů, které městu Brnu pomáhají </w:t>
      </w:r>
      <w:r w:rsidRPr="0071520F">
        <w:lastRenderedPageBreak/>
        <w:t xml:space="preserve">s pořizováním dopravních prostředků pro </w:t>
      </w:r>
      <w:r w:rsidR="007D04B6" w:rsidRPr="0071520F">
        <w:t xml:space="preserve">městskou hromadnou dopravu. Na druhou stranu musíme dodat, že součástí naší analýzy nejsou peníze financované skrze státní úroveň a směřující na stavby tak strategicky důležitých staveb, jako je např. velký městský okruh. Taktéž jsme v námi zpracovaných projektech nenašli žádný </w:t>
      </w:r>
      <w:r w:rsidR="0024625E">
        <w:t xml:space="preserve">přímo </w:t>
      </w:r>
      <w:r w:rsidR="007D04B6" w:rsidRPr="0071520F">
        <w:t>napojený na stavbu Europointu Brno</w:t>
      </w:r>
      <w:r w:rsidR="0024625E">
        <w:t xml:space="preserve"> (tedy opatření 5.1.3), což </w:t>
      </w:r>
      <w:r w:rsidR="007D04B6" w:rsidRPr="0071520F">
        <w:t>je však vzhledem k politické situaci a vzájemné blokaci na několika úrovních pochopitelné.</w:t>
      </w:r>
    </w:p>
    <w:p w:rsidR="00BA2E16" w:rsidRDefault="007D04B6" w:rsidP="005A491C">
      <w:pPr>
        <w:ind w:firstLine="360"/>
      </w:pPr>
      <w:r w:rsidRPr="0071520F">
        <w:t xml:space="preserve">Zajištění komplexního hospodaření s energiemi a povrchovými i odpadními vodami, tedy </w:t>
      </w:r>
      <w:r w:rsidRPr="006E2678">
        <w:rPr>
          <w:b/>
        </w:rPr>
        <w:t>cíl 5.2</w:t>
      </w:r>
      <w:r w:rsidRPr="0071520F">
        <w:t>, je taktéž financováno velmi dobře</w:t>
      </w:r>
      <w:r w:rsidR="00C60A58">
        <w:t xml:space="preserve">. Jde pak </w:t>
      </w:r>
      <w:r w:rsidRPr="0071520F">
        <w:t xml:space="preserve">především </w:t>
      </w:r>
      <w:r w:rsidR="00C60A58">
        <w:t>o peníze plynoucí z</w:t>
      </w:r>
      <w:r w:rsidRPr="0071520F">
        <w:t> úrovně města Brna</w:t>
      </w:r>
      <w:r w:rsidR="008D4327">
        <w:t xml:space="preserve">, přičemž </w:t>
      </w:r>
      <w:r w:rsidR="00C60A58">
        <w:t>z</w:t>
      </w:r>
      <w:r w:rsidRPr="0071520F">
        <w:t xml:space="preserve"> jiných </w:t>
      </w:r>
      <w:r w:rsidR="008D4327">
        <w:t xml:space="preserve">námi zkoumaných </w:t>
      </w:r>
      <w:r w:rsidRPr="0071520F">
        <w:t>zdrojů na tento cíl</w:t>
      </w:r>
      <w:r w:rsidR="008D4327">
        <w:t xml:space="preserve"> v poměru</w:t>
      </w:r>
      <w:r w:rsidRPr="0071520F">
        <w:t xml:space="preserve"> mnoho </w:t>
      </w:r>
      <w:r w:rsidR="00C60A58">
        <w:t xml:space="preserve">financí </w:t>
      </w:r>
      <w:r w:rsidRPr="0071520F">
        <w:t>nepřišlo.</w:t>
      </w:r>
      <w:r w:rsidR="005A491C">
        <w:t xml:space="preserve"> Velmi výrazné </w:t>
      </w:r>
      <w:r w:rsidR="006D722A">
        <w:t xml:space="preserve">zvýšení </w:t>
      </w:r>
      <w:r w:rsidR="005A491C">
        <w:t>financování tohoto cíle</w:t>
      </w:r>
      <w:r w:rsidR="006D722A">
        <w:t xml:space="preserve"> </w:t>
      </w:r>
      <w:r w:rsidR="005A491C">
        <w:t xml:space="preserve">přišlo především mezi roky 2012 a 2014, kdy bylo do dostavby městské kanalizace a jejích oprav investováno přes 2 miliardy korun (z toho </w:t>
      </w:r>
      <w:r w:rsidR="006D722A">
        <w:t xml:space="preserve">měly </w:t>
      </w:r>
      <w:r w:rsidR="005A491C">
        <w:t>dotace z</w:t>
      </w:r>
      <w:r w:rsidR="006D722A">
        <w:t> evropských fondů dosáhnout až</w:t>
      </w:r>
      <w:r w:rsidR="005A491C">
        <w:t xml:space="preserve"> 44 %). Během dvou let bylo položeno 24 km kanalizace a dále 14 km kanalizace</w:t>
      </w:r>
      <w:r w:rsidR="006D722A" w:rsidRPr="006D722A">
        <w:t xml:space="preserve"> </w:t>
      </w:r>
      <w:r w:rsidR="006D722A">
        <w:t>dešťové</w:t>
      </w:r>
      <w:r w:rsidR="005A491C">
        <w:t>, v rámci níž proběhla r</w:t>
      </w:r>
      <w:r w:rsidR="005A491C" w:rsidRPr="008D4327">
        <w:t>ekonstrukce a dostavba kmenových stok</w:t>
      </w:r>
      <w:r w:rsidR="005A491C">
        <w:t xml:space="preserve"> (</w:t>
      </w:r>
      <w:r w:rsidR="005A491C" w:rsidRPr="004D7363">
        <w:rPr>
          <w:bCs/>
        </w:rPr>
        <w:t>13 ucelených částí)</w:t>
      </w:r>
      <w:r w:rsidR="005A491C">
        <w:t xml:space="preserve"> a d</w:t>
      </w:r>
      <w:r w:rsidR="005A491C" w:rsidRPr="008D4327">
        <w:t>ostavba kanalizace v městských částech</w:t>
      </w:r>
      <w:r w:rsidR="005A491C">
        <w:t xml:space="preserve"> (Bohunice, </w:t>
      </w:r>
      <w:proofErr w:type="spellStart"/>
      <w:r w:rsidR="005A491C">
        <w:t>Tuřany</w:t>
      </w:r>
      <w:proofErr w:type="spellEnd"/>
      <w:r w:rsidR="005A491C">
        <w:t xml:space="preserve">, </w:t>
      </w:r>
      <w:proofErr w:type="spellStart"/>
      <w:r w:rsidR="005A491C">
        <w:t>Žebětín</w:t>
      </w:r>
      <w:proofErr w:type="spellEnd"/>
      <w:r w:rsidR="005A491C">
        <w:t xml:space="preserve"> a Ivanovice)</w:t>
      </w:r>
      <w:r w:rsidR="006D722A">
        <w:t>. Díky projektu se měla zvýšit</w:t>
      </w:r>
      <w:r w:rsidR="005A491C">
        <w:t xml:space="preserve"> úroveň životního prostředí, kvalita vodních toků i podzemních vod a </w:t>
      </w:r>
      <w:r w:rsidR="006D722A">
        <w:t>potenciál</w:t>
      </w:r>
      <w:r w:rsidR="005A491C">
        <w:t xml:space="preserve"> další</w:t>
      </w:r>
      <w:r w:rsidR="006D722A">
        <w:t>ho</w:t>
      </w:r>
      <w:r w:rsidR="005A491C">
        <w:t xml:space="preserve"> rozvoj</w:t>
      </w:r>
      <w:r w:rsidR="006D722A">
        <w:t>e</w:t>
      </w:r>
      <w:r w:rsidR="005A491C">
        <w:t xml:space="preserve"> jižní části města. Dle OHL ŽS byl projekt dostavby městské kanalizace a její opravy mezi březnem 2013 a únorem 2014 největší investiční akc</w:t>
      </w:r>
      <w:r w:rsidR="006D722A">
        <w:t>í</w:t>
      </w:r>
      <w:r w:rsidR="005A491C">
        <w:t xml:space="preserve"> v oblasti rozvoje vodohospodářské infrastruktury v ČR </w:t>
      </w:r>
      <w:r w:rsidR="006D722A">
        <w:t>během</w:t>
      </w:r>
      <w:r w:rsidR="005A491C">
        <w:t xml:space="preserve"> plánovací</w:t>
      </w:r>
      <w:r w:rsidR="006D722A">
        <w:t>ho</w:t>
      </w:r>
      <w:r w:rsidR="005A491C">
        <w:t xml:space="preserve"> období Evropské unie 2007–2013.</w:t>
      </w:r>
      <w:r w:rsidR="005A491C">
        <w:rPr>
          <w:rStyle w:val="Znakapoznpodarou"/>
        </w:rPr>
        <w:footnoteReference w:id="3"/>
      </w:r>
      <w:r w:rsidRPr="0071520F">
        <w:t xml:space="preserve"> Je mediálně známé, že </w:t>
      </w:r>
      <w:r w:rsidR="0093365F">
        <w:t xml:space="preserve">nejen </w:t>
      </w:r>
      <w:r w:rsidRPr="0071520F">
        <w:t>kvůli těmto investicím</w:t>
      </w:r>
      <w:r w:rsidR="00C60A58">
        <w:t xml:space="preserve"> se město dále zadlužilo</w:t>
      </w:r>
      <w:r w:rsidR="0093365F">
        <w:rPr>
          <w:rStyle w:val="Znakapoznpodarou"/>
        </w:rPr>
        <w:footnoteReference w:id="4"/>
      </w:r>
      <w:r w:rsidR="0093365F">
        <w:t xml:space="preserve"> a </w:t>
      </w:r>
      <w:r w:rsidRPr="0071520F">
        <w:t xml:space="preserve">bohužel nezbyly finance </w:t>
      </w:r>
      <w:r w:rsidR="0093365F">
        <w:t xml:space="preserve">na rozpočty příspěvkových organizací, jako je Knihovna Jiřího </w:t>
      </w:r>
      <w:proofErr w:type="spellStart"/>
      <w:r w:rsidR="0093365F">
        <w:t>Mahena</w:t>
      </w:r>
      <w:proofErr w:type="spellEnd"/>
      <w:r w:rsidR="0093365F">
        <w:t xml:space="preserve">, </w:t>
      </w:r>
      <w:r w:rsidR="003E6D04">
        <w:t>Zoo Brno</w:t>
      </w:r>
      <w:r w:rsidR="0093365F">
        <w:t>, nebo Dům umění města Brna</w:t>
      </w:r>
      <w:r w:rsidRPr="0071520F">
        <w:t>.</w:t>
      </w:r>
      <w:r w:rsidR="0093365F">
        <w:rPr>
          <w:rStyle w:val="Znakapoznpodarou"/>
        </w:rPr>
        <w:footnoteReference w:id="5"/>
      </w:r>
      <w:r w:rsidR="005A491C">
        <w:rPr>
          <w:rStyle w:val="Znakapoznpodarou"/>
        </w:rPr>
        <w:footnoteReference w:id="6"/>
      </w:r>
      <w:r w:rsidR="005A491C">
        <w:rPr>
          <w:rStyle w:val="Znakapoznpodarou"/>
        </w:rPr>
        <w:footnoteReference w:id="7"/>
      </w:r>
    </w:p>
    <w:p w:rsidR="00232E93" w:rsidRPr="005A491C" w:rsidRDefault="007D04B6" w:rsidP="005A491C">
      <w:pPr>
        <w:ind w:firstLine="360"/>
      </w:pPr>
      <w:r w:rsidRPr="0071520F">
        <w:t>Za zmínku</w:t>
      </w:r>
      <w:r w:rsidR="00BA2E16">
        <w:t xml:space="preserve"> v rámci cíle 5.2</w:t>
      </w:r>
      <w:r w:rsidRPr="0071520F">
        <w:t xml:space="preserve"> taktéž stojí absence opatření spojených s protipovodňovou ochranou</w:t>
      </w:r>
      <w:r w:rsidR="0024625E">
        <w:t xml:space="preserve"> (opatření 5.2.2)</w:t>
      </w:r>
      <w:r w:rsidRPr="0071520F">
        <w:t xml:space="preserve">. </w:t>
      </w:r>
      <w:r w:rsidR="003E6D04">
        <w:t>M</w:t>
      </w:r>
      <w:r w:rsidRPr="0071520F">
        <w:t xml:space="preserve">ohlo </w:t>
      </w:r>
      <w:r w:rsidR="003E6D04">
        <w:t xml:space="preserve">by </w:t>
      </w:r>
      <w:r w:rsidRPr="0071520F">
        <w:t>být</w:t>
      </w:r>
      <w:r w:rsidR="003E6D04">
        <w:t xml:space="preserve"> totiž </w:t>
      </w:r>
      <w:r w:rsidRPr="0071520F">
        <w:t>velmi dobře spojeno s projekty cyklistických stezek</w:t>
      </w:r>
      <w:r w:rsidR="003E6D04">
        <w:t>, nebo</w:t>
      </w:r>
      <w:r w:rsidRPr="0071520F">
        <w:t xml:space="preserve"> zlepšování</w:t>
      </w:r>
      <w:r w:rsidR="003E6D04">
        <w:t>m</w:t>
      </w:r>
      <w:r w:rsidRPr="0071520F">
        <w:t xml:space="preserve"> kvali</w:t>
      </w:r>
      <w:r w:rsidR="0093365F">
        <w:t>ty veřejných prostranství</w:t>
      </w:r>
      <w:r w:rsidR="003E6D04">
        <w:t>. A to jak</w:t>
      </w:r>
      <w:r w:rsidRPr="0071520F">
        <w:t xml:space="preserve"> kolem</w:t>
      </w:r>
      <w:r w:rsidR="0024625E">
        <w:t xml:space="preserve"> brněnských</w:t>
      </w:r>
      <w:r w:rsidRPr="0071520F">
        <w:t xml:space="preserve"> řek Svratky a Svitavy, </w:t>
      </w:r>
      <w:r w:rsidR="003E6D04">
        <w:t xml:space="preserve">tak </w:t>
      </w:r>
      <w:r w:rsidRPr="0071520F">
        <w:t>i menšíc</w:t>
      </w:r>
      <w:r w:rsidR="003E6D04">
        <w:t xml:space="preserve">h toků, jako je </w:t>
      </w:r>
      <w:proofErr w:type="spellStart"/>
      <w:r w:rsidR="00C31AEE" w:rsidRPr="0071520F">
        <w:t>Ponávk</w:t>
      </w:r>
      <w:r w:rsidR="003E6D04">
        <w:t>a</w:t>
      </w:r>
      <w:proofErr w:type="spellEnd"/>
      <w:r w:rsidR="00C31AEE" w:rsidRPr="0071520F">
        <w:t>, či různ</w:t>
      </w:r>
      <w:r w:rsidR="003E6D04">
        <w:t>é</w:t>
      </w:r>
      <w:r w:rsidR="00C31AEE" w:rsidRPr="0071520F">
        <w:t xml:space="preserve"> </w:t>
      </w:r>
      <w:r w:rsidRPr="0071520F">
        <w:t>náhon</w:t>
      </w:r>
      <w:r w:rsidR="003E6D04">
        <w:t>y</w:t>
      </w:r>
      <w:r w:rsidRPr="0071520F">
        <w:t xml:space="preserve"> proplétající se</w:t>
      </w:r>
      <w:r w:rsidR="00BA2E16">
        <w:t xml:space="preserve"> </w:t>
      </w:r>
      <w:r w:rsidR="0024625E">
        <w:t>i pod</w:t>
      </w:r>
      <w:r w:rsidRPr="0071520F">
        <w:t xml:space="preserve"> centrem Brna.</w:t>
      </w:r>
    </w:p>
    <w:p w:rsidR="007A43A7" w:rsidRPr="0071520F" w:rsidRDefault="00CA279A" w:rsidP="006E2678">
      <w:pPr>
        <w:pStyle w:val="Nadpis1"/>
        <w:numPr>
          <w:ilvl w:val="0"/>
          <w:numId w:val="5"/>
        </w:numPr>
        <w:rPr>
          <w:lang w:eastAsia="cs-CZ" w:bidi="ar-SA"/>
        </w:rPr>
      </w:pPr>
      <w:bookmarkStart w:id="28" w:name="_Toc407101595"/>
      <w:bookmarkStart w:id="29" w:name="_Toc410160017"/>
      <w:r>
        <w:rPr>
          <w:lang w:eastAsia="cs-CZ" w:bidi="ar-SA"/>
        </w:rPr>
        <w:lastRenderedPageBreak/>
        <w:t xml:space="preserve">Realizace, popis a rozpočet </w:t>
      </w:r>
      <w:r w:rsidR="006E2678">
        <w:rPr>
          <w:lang w:eastAsia="cs-CZ" w:bidi="ar-SA"/>
        </w:rPr>
        <w:t>nejvýznamnějších</w:t>
      </w:r>
      <w:r>
        <w:rPr>
          <w:lang w:eastAsia="cs-CZ" w:bidi="ar-SA"/>
        </w:rPr>
        <w:t xml:space="preserve"> </w:t>
      </w:r>
      <w:r w:rsidR="007A43A7" w:rsidRPr="0071520F">
        <w:rPr>
          <w:lang w:eastAsia="cs-CZ" w:bidi="ar-SA"/>
        </w:rPr>
        <w:t>projektů</w:t>
      </w:r>
      <w:bookmarkEnd w:id="28"/>
      <w:bookmarkEnd w:id="29"/>
    </w:p>
    <w:p w:rsidR="007A43A7" w:rsidRDefault="007A43A7" w:rsidP="00E65CC7">
      <w:pPr>
        <w:pStyle w:val="Nadpis2"/>
        <w:numPr>
          <w:ilvl w:val="1"/>
          <w:numId w:val="5"/>
        </w:numPr>
        <w:rPr>
          <w:lang w:eastAsia="cs-CZ" w:bidi="ar-SA"/>
        </w:rPr>
      </w:pPr>
      <w:bookmarkStart w:id="30" w:name="_Toc407101596"/>
      <w:bookmarkStart w:id="31" w:name="_Toc410160018"/>
      <w:r w:rsidRPr="0071520F">
        <w:rPr>
          <w:lang w:eastAsia="cs-CZ" w:bidi="ar-SA"/>
        </w:rPr>
        <w:t>CEITEC - středoevropský technologický institut</w:t>
      </w:r>
      <w:bookmarkEnd w:id="30"/>
      <w:bookmarkEnd w:id="31"/>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CZ.1.05/1.1.00/02.0068</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rPr>
              <w:t>1. 1. 2011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Masarykova univerzita</w:t>
            </w:r>
          </w:p>
        </w:tc>
      </w:tr>
      <w:tr w:rsidR="003B34B0" w:rsidRPr="0071520F" w:rsidTr="007A3E61">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4B0" w:rsidRPr="0071520F" w:rsidRDefault="003B34B0"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3B34B0" w:rsidP="007A43A7">
            <w:r w:rsidRPr="0071520F">
              <w:t>6 694 347 938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3B34B0"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3B34B0" w:rsidRDefault="003B34B0" w:rsidP="007A43A7">
            <w:pPr>
              <w:rPr>
                <w:rFonts w:cs="Times New Roman"/>
              </w:rPr>
            </w:pPr>
            <w:r w:rsidRPr="003B34B0">
              <w:rPr>
                <w:rFonts w:cs="Times New Roman"/>
                <w:bCs/>
                <w:color w:val="000000"/>
                <w:shd w:val="clear" w:color="auto" w:fill="F1F1F1"/>
              </w:rPr>
              <w:t>4 454 854 913 Kč (67 %)</w:t>
            </w:r>
          </w:p>
        </w:tc>
      </w:tr>
    </w:tbl>
    <w:p w:rsidR="007A43A7" w:rsidRPr="003A4E29" w:rsidRDefault="007A43A7" w:rsidP="003A4E29">
      <w:pPr>
        <w:pStyle w:val="Nadpis4"/>
      </w:pPr>
      <w:r w:rsidRPr="003A4E29">
        <w:t>Krátký popis projektu</w:t>
      </w:r>
    </w:p>
    <w:p w:rsidR="007A43A7" w:rsidRPr="0071520F" w:rsidRDefault="007A43A7" w:rsidP="00CA279A">
      <w:pPr>
        <w:ind w:firstLine="708"/>
        <w:rPr>
          <w:lang w:eastAsia="cs-CZ" w:bidi="ar-SA"/>
        </w:rPr>
      </w:pPr>
      <w:r w:rsidRPr="0071520F">
        <w:rPr>
          <w:lang w:eastAsia="cs-CZ" w:bidi="ar-SA"/>
        </w:rPr>
        <w:t xml:space="preserve">Projekt CEITEC - středoevropský technologický institut je unikátním počinem, usilujícím o podporu rozvoje Jihomoravského regionu investicí do výzkumné a vývojové infrastruktury. Jedinečnost projektu spočívá zejména v zapojení nejlepších vědeckých týmů se signifikantními výsledky v různých oborech věd o živé a neživé přírodě a působících na různých vysokých školách a výzkumných institucích soustředěných v rámci města Brna. </w:t>
      </w:r>
    </w:p>
    <w:p w:rsidR="007A43A7" w:rsidRPr="003A4E29" w:rsidRDefault="00CA279A" w:rsidP="003A4E29">
      <w:pPr>
        <w:pStyle w:val="Nadpis4"/>
      </w:pPr>
      <w:r w:rsidRPr="003A4E29">
        <w:t>Rozpočet</w:t>
      </w:r>
    </w:p>
    <w:p w:rsidR="007A43A7" w:rsidRPr="0071520F" w:rsidRDefault="007A43A7" w:rsidP="00CA279A">
      <w:pPr>
        <w:spacing w:after="200"/>
        <w:ind w:firstLine="708"/>
        <w:rPr>
          <w:lang w:eastAsia="cs-CZ" w:bidi="ar-SA"/>
        </w:rPr>
      </w:pPr>
      <w:r w:rsidRPr="0071520F">
        <w:rPr>
          <w:lang w:eastAsia="cs-CZ" w:bidi="ar-SA"/>
        </w:rPr>
        <w:t>Hlavním zdrojem financování centra CEITEC je Evropský fond pro regionální rozvoj, z něhož se čerpá prostřednictvím Operačního programu Výzkum a vývoj pro inovace, prioritní osa č. 1 – Evropská centra excelence, který řídí Ministerstvo školství, mládeže a tělovýchovy ČR. Vzhledem k tomu, že hlavní zdroj financování je Evropský fond, náklady pro rozpočet města Brna by to mělo ovlivňovat minimálně. Maximálně je mezi ně možné zařadit náklady spojené s infrastrukturou nebo režijní náklady, pokud nebude upraveno jinak, že i o tyto náklady se stará evropský fond. Pokud ovšem srovnáme náklady a přínosy tohoto projektu, přínosy jednoznačně převyšují, především kvůli technologickému pokroku a možným inovacím, které v rámci něj budou vytvořeny. Stejně tak dojde k vytvoření pracovních míst, což podpoří zaměstnanost města a mimo jiné i vzdělanost.</w:t>
      </w:r>
    </w:p>
    <w:p w:rsidR="00D21272" w:rsidRDefault="00D21272">
      <w:pPr>
        <w:spacing w:after="200" w:line="276" w:lineRule="auto"/>
        <w:rPr>
          <w:rFonts w:asciiTheme="majorHAnsi" w:eastAsiaTheme="majorEastAsia" w:hAnsiTheme="majorHAnsi"/>
          <w:b/>
          <w:bCs/>
          <w:i/>
          <w:iCs/>
          <w:sz w:val="28"/>
          <w:szCs w:val="28"/>
        </w:rPr>
      </w:pPr>
      <w:r>
        <w:br w:type="page"/>
      </w:r>
    </w:p>
    <w:p w:rsidR="007A43A7" w:rsidRPr="00E65CC7" w:rsidRDefault="007A43A7" w:rsidP="00E65CC7">
      <w:pPr>
        <w:pStyle w:val="Nadpis2"/>
        <w:numPr>
          <w:ilvl w:val="1"/>
          <w:numId w:val="5"/>
        </w:numPr>
      </w:pPr>
      <w:bookmarkStart w:id="32" w:name="_Toc407101597"/>
      <w:bookmarkStart w:id="33" w:name="_Toc410160019"/>
      <w:r w:rsidRPr="00E65CC7">
        <w:lastRenderedPageBreak/>
        <w:t>Mezinárodní centrum klinického výzkumu (FNUSA - ICRC)</w:t>
      </w:r>
      <w:bookmarkEnd w:id="32"/>
      <w:bookmarkEnd w:id="33"/>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CZ.1.05/1.1.00/02.0123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rPr>
              <w:t>1. 4. 2011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Fakultní nemocnice u sv. Anny v Brně</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rFonts w:eastAsia="Times New Roman"/>
              </w:rPr>
              <w:t>4 727 874 922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3B34B0"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3B34B0" w:rsidRDefault="003B34B0" w:rsidP="007A43A7">
            <w:pPr>
              <w:rPr>
                <w:rFonts w:eastAsia="Times New Roman" w:cs="Times New Roman"/>
              </w:rPr>
            </w:pPr>
            <w:r w:rsidRPr="003B34B0">
              <w:rPr>
                <w:rFonts w:cs="Times New Roman"/>
                <w:bCs/>
                <w:color w:val="000000"/>
                <w:szCs w:val="20"/>
                <w:shd w:val="clear" w:color="auto" w:fill="F1F1F1"/>
              </w:rPr>
              <w:t>2 009 082 214 Kč (42 %)</w:t>
            </w:r>
          </w:p>
        </w:tc>
      </w:tr>
    </w:tbl>
    <w:p w:rsidR="007A43A7" w:rsidRPr="007316FA" w:rsidRDefault="0071520F" w:rsidP="007316FA">
      <w:pPr>
        <w:pStyle w:val="Nadpis4"/>
      </w:pPr>
      <w:r w:rsidRPr="007316FA">
        <w:t>Krátký popis projektu</w:t>
      </w:r>
    </w:p>
    <w:p w:rsidR="007A43A7" w:rsidRPr="0071520F" w:rsidRDefault="007A43A7" w:rsidP="003E6D04">
      <w:pPr>
        <w:ind w:firstLine="708"/>
        <w:rPr>
          <w:lang w:eastAsia="cs-CZ" w:bidi="ar-SA"/>
        </w:rPr>
      </w:pPr>
      <w:r w:rsidRPr="0071520F">
        <w:rPr>
          <w:lang w:eastAsia="cs-CZ" w:bidi="ar-SA"/>
        </w:rPr>
        <w:t>Cílem projektu je</w:t>
      </w:r>
      <w:r w:rsidR="00D21272">
        <w:rPr>
          <w:lang w:eastAsia="cs-CZ" w:bidi="ar-SA"/>
        </w:rPr>
        <w:t xml:space="preserve"> vybudovat špičkové mezinárodní centrum</w:t>
      </w:r>
      <w:r w:rsidRPr="0071520F">
        <w:rPr>
          <w:lang w:eastAsia="cs-CZ" w:bidi="ar-SA"/>
        </w:rPr>
        <w:t xml:space="preserve"> lékařského výzkumu, které díky unikátní logistice mezinárodní vědecké spolupráce, založené na koncepci tzv. dynamických vědeckých týmů a originálnímu systému tzv. flexibilních vědeckých laboratoří</w:t>
      </w:r>
      <w:r w:rsidR="00D21272">
        <w:rPr>
          <w:lang w:eastAsia="cs-CZ" w:bidi="ar-SA"/>
        </w:rPr>
        <w:t>,</w:t>
      </w:r>
      <w:r w:rsidRPr="0071520F">
        <w:rPr>
          <w:lang w:eastAsia="cs-CZ" w:bidi="ar-SA"/>
        </w:rPr>
        <w:t xml:space="preserve"> dokáže urychlit vývoj nových průlomových léčebných a diagnostických strategií</w:t>
      </w:r>
      <w:r w:rsidR="00D21272">
        <w:rPr>
          <w:lang w:eastAsia="cs-CZ" w:bidi="ar-SA"/>
        </w:rPr>
        <w:t>, nových technologií včetně bio/</w:t>
      </w:r>
      <w:proofErr w:type="spellStart"/>
      <w:r w:rsidRPr="0071520F">
        <w:rPr>
          <w:lang w:eastAsia="cs-CZ" w:bidi="ar-SA"/>
        </w:rPr>
        <w:t>nano</w:t>
      </w:r>
      <w:proofErr w:type="spellEnd"/>
      <w:r w:rsidR="00D21272">
        <w:rPr>
          <w:lang w:eastAsia="cs-CZ" w:bidi="ar-SA"/>
        </w:rPr>
        <w:t>-</w:t>
      </w:r>
      <w:r w:rsidRPr="0071520F">
        <w:rPr>
          <w:lang w:eastAsia="cs-CZ" w:bidi="ar-SA"/>
        </w:rPr>
        <w:t xml:space="preserve">technologií a nových léků až o 50% a to při respektování všech nejpřísnějších mezinárodních norem pro etiku a bezpečnost výzkumu. </w:t>
      </w:r>
    </w:p>
    <w:p w:rsidR="007A43A7" w:rsidRPr="007316FA" w:rsidRDefault="007A43A7" w:rsidP="007316FA">
      <w:pPr>
        <w:pStyle w:val="Nadpis4"/>
        <w:rPr>
          <w:szCs w:val="24"/>
        </w:rPr>
      </w:pPr>
      <w:r w:rsidRPr="007316FA">
        <w:t>Rozpočet</w:t>
      </w:r>
    </w:p>
    <w:p w:rsidR="007A43A7" w:rsidRPr="0071520F" w:rsidRDefault="007316FA" w:rsidP="0071520F">
      <w:pPr>
        <w:ind w:firstLine="708"/>
        <w:rPr>
          <w:lang w:eastAsia="cs-CZ" w:bidi="ar-SA"/>
        </w:rPr>
      </w:pPr>
      <w:r>
        <w:rPr>
          <w:lang w:eastAsia="cs-CZ" w:bidi="ar-SA"/>
        </w:rPr>
        <w:t>Projekt</w:t>
      </w:r>
      <w:r w:rsidR="007A43A7" w:rsidRPr="0071520F">
        <w:rPr>
          <w:lang w:eastAsia="cs-CZ" w:bidi="ar-SA"/>
        </w:rPr>
        <w:t xml:space="preserve"> je financované převážně ze strukturálních fondů Evropské unie, a to prostřednictvím Operačního programu Výzkum a vývoj pro inovace (2,365 mld. Kč) a Operačního programu V</w:t>
      </w:r>
      <w:r>
        <w:rPr>
          <w:lang w:eastAsia="cs-CZ" w:bidi="ar-SA"/>
        </w:rPr>
        <w:t>zdělání pro konkurenceschopnost</w:t>
      </w:r>
      <w:r w:rsidR="007A43A7" w:rsidRPr="0071520F">
        <w:rPr>
          <w:lang w:eastAsia="cs-CZ" w:bidi="ar-SA"/>
        </w:rPr>
        <w:t xml:space="preserve"> poskytovaných přes Ministerstvo školství, mládeže a tělovýchovy a Ministerstvo zdravotnictví ČR.</w:t>
      </w:r>
    </w:p>
    <w:p w:rsidR="007A43A7" w:rsidRPr="0071520F" w:rsidRDefault="007A43A7" w:rsidP="0071520F">
      <w:pPr>
        <w:ind w:firstLine="708"/>
        <w:rPr>
          <w:lang w:eastAsia="cs-CZ" w:bidi="ar-SA"/>
        </w:rPr>
      </w:pPr>
      <w:r w:rsidRPr="0071520F">
        <w:rPr>
          <w:lang w:eastAsia="cs-CZ" w:bidi="ar-SA"/>
        </w:rPr>
        <w:t>Finanční prostředky jsou dále získávány z dotace ISPROFIN (1,66 mld. Kč) poskytnuté Ministerstvem zdravotnictví ČR, z Institucionální podpory poskytované Radou vlády ČR pro výzkum a vývoj, z příspěvků Jihomoravského kraje a z vlastních zdrojů Fakultní nemocnice u sv. Anny v Brně získaných zejména prostřednictvím smluvního výzkumu a komercializace výsledků výzkumu.</w:t>
      </w:r>
    </w:p>
    <w:p w:rsidR="00D21272" w:rsidRDefault="007A43A7" w:rsidP="00D21272">
      <w:pPr>
        <w:ind w:firstLine="708"/>
        <w:rPr>
          <w:rFonts w:asciiTheme="majorHAnsi" w:eastAsiaTheme="majorEastAsia" w:hAnsiTheme="majorHAnsi"/>
          <w:b/>
          <w:bCs/>
          <w:i/>
          <w:iCs/>
          <w:sz w:val="28"/>
          <w:szCs w:val="28"/>
          <w:lang w:eastAsia="cs-CZ" w:bidi="ar-SA"/>
        </w:rPr>
      </w:pPr>
      <w:r w:rsidRPr="0071520F">
        <w:rPr>
          <w:lang w:eastAsia="cs-CZ" w:bidi="ar-SA"/>
        </w:rPr>
        <w:t>Předpokládaný rozpočet na období 2011 až 2015 je 4,</w:t>
      </w:r>
      <w:r w:rsidR="00D21272">
        <w:rPr>
          <w:lang w:eastAsia="cs-CZ" w:bidi="ar-SA"/>
        </w:rPr>
        <w:t>7</w:t>
      </w:r>
      <w:r w:rsidRPr="0071520F">
        <w:rPr>
          <w:lang w:eastAsia="cs-CZ" w:bidi="ar-SA"/>
        </w:rPr>
        <w:t xml:space="preserve"> mld. Kč. </w:t>
      </w:r>
      <w:r w:rsidR="00D21272">
        <w:rPr>
          <w:lang w:eastAsia="cs-CZ" w:bidi="ar-SA"/>
        </w:rPr>
        <w:t>Náklady s projektem spojené přímo pro</w:t>
      </w:r>
      <w:r w:rsidRPr="0071520F">
        <w:rPr>
          <w:lang w:eastAsia="cs-CZ" w:bidi="ar-SA"/>
        </w:rPr>
        <w:t xml:space="preserve"> město Brno</w:t>
      </w:r>
      <w:r w:rsidR="00D21272">
        <w:rPr>
          <w:lang w:eastAsia="cs-CZ" w:bidi="ar-SA"/>
        </w:rPr>
        <w:t xml:space="preserve"> budou pak založeny spíše na různých opravách a údržbě spojených</w:t>
      </w:r>
      <w:r w:rsidRPr="0071520F">
        <w:rPr>
          <w:lang w:eastAsia="cs-CZ" w:bidi="ar-SA"/>
        </w:rPr>
        <w:t xml:space="preserve"> s centrem nebo in</w:t>
      </w:r>
      <w:r w:rsidR="00581CD3">
        <w:rPr>
          <w:lang w:eastAsia="cs-CZ" w:bidi="ar-SA"/>
        </w:rPr>
        <w:t>frastrukturou v jeho blízkosti.</w:t>
      </w:r>
    </w:p>
    <w:p w:rsidR="007A43A7" w:rsidRDefault="003B34B0" w:rsidP="00E65CC7">
      <w:pPr>
        <w:pStyle w:val="Nadpis2"/>
        <w:numPr>
          <w:ilvl w:val="1"/>
          <w:numId w:val="5"/>
        </w:numPr>
        <w:rPr>
          <w:lang w:eastAsia="cs-CZ" w:bidi="ar-SA"/>
        </w:rPr>
      </w:pPr>
      <w:bookmarkStart w:id="34" w:name="_Toc407101598"/>
      <w:bookmarkStart w:id="35" w:name="_Toc410160020"/>
      <w:r>
        <w:rPr>
          <w:lang w:eastAsia="cs-CZ" w:bidi="ar-SA"/>
        </w:rPr>
        <w:lastRenderedPageBreak/>
        <w:t>Centrum e</w:t>
      </w:r>
      <w:r w:rsidR="007A43A7" w:rsidRPr="0071520F">
        <w:rPr>
          <w:lang w:eastAsia="cs-CZ" w:bidi="ar-SA"/>
        </w:rPr>
        <w:t>xcelence IT4Innovations</w:t>
      </w:r>
      <w:bookmarkEnd w:id="34"/>
      <w:bookmarkEnd w:id="35"/>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CZ.1.05/1.1.00/02.0070</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1. 7. 2011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VŠB - TUO</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rFonts w:eastAsia="Times New Roman"/>
              </w:rPr>
              <w:t>2 420 368 331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3B34B0" w:rsidP="007A3E61">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A3E61" w:rsidRDefault="003B34B0" w:rsidP="007A43A7">
            <w:pPr>
              <w:rPr>
                <w:rFonts w:eastAsia="Times New Roman" w:cs="Times New Roman"/>
              </w:rPr>
            </w:pPr>
            <w:r w:rsidRPr="007A3E61">
              <w:rPr>
                <w:rFonts w:cs="Times New Roman"/>
                <w:bCs/>
                <w:color w:val="000000"/>
                <w:szCs w:val="20"/>
                <w:shd w:val="clear" w:color="auto" w:fill="F1F1F1"/>
              </w:rPr>
              <w:t>1 541 250</w:t>
            </w:r>
            <w:r w:rsidR="007A3E61" w:rsidRPr="007A3E61">
              <w:rPr>
                <w:rFonts w:cs="Times New Roman"/>
                <w:bCs/>
                <w:color w:val="000000"/>
                <w:szCs w:val="20"/>
                <w:shd w:val="clear" w:color="auto" w:fill="F1F1F1"/>
              </w:rPr>
              <w:t> </w:t>
            </w:r>
            <w:r w:rsidRPr="007A3E61">
              <w:rPr>
                <w:rFonts w:cs="Times New Roman"/>
                <w:bCs/>
                <w:color w:val="000000"/>
                <w:szCs w:val="20"/>
                <w:shd w:val="clear" w:color="auto" w:fill="F1F1F1"/>
              </w:rPr>
              <w:t>069</w:t>
            </w:r>
            <w:r w:rsidR="007A3E61" w:rsidRPr="007A3E61">
              <w:rPr>
                <w:rFonts w:cs="Times New Roman"/>
                <w:bCs/>
                <w:color w:val="000000"/>
                <w:szCs w:val="20"/>
                <w:shd w:val="clear" w:color="auto" w:fill="F1F1F1"/>
              </w:rPr>
              <w:t xml:space="preserve"> Kč (64 %)</w:t>
            </w:r>
          </w:p>
        </w:tc>
      </w:tr>
    </w:tbl>
    <w:p w:rsidR="007A43A7" w:rsidRPr="003A4E29" w:rsidRDefault="007A43A7" w:rsidP="003A4E29">
      <w:pPr>
        <w:pStyle w:val="Nadpis4"/>
        <w:rPr>
          <w:szCs w:val="24"/>
        </w:rPr>
      </w:pPr>
      <w:r w:rsidRPr="003A4E29">
        <w:t>Krátký popis projektu</w:t>
      </w:r>
    </w:p>
    <w:p w:rsidR="007A43A7" w:rsidRPr="0071520F" w:rsidRDefault="007A43A7" w:rsidP="0071520F">
      <w:pPr>
        <w:ind w:firstLine="708"/>
        <w:rPr>
          <w:lang w:eastAsia="cs-CZ" w:bidi="ar-SA"/>
        </w:rPr>
      </w:pPr>
      <w:r w:rsidRPr="0071520F">
        <w:rPr>
          <w:lang w:eastAsia="cs-CZ" w:bidi="ar-SA"/>
        </w:rPr>
        <w:t>Globálním cílem projektu CE IT4Innovations je vybudovat výzkumné kapacity potřebné k realizaci excelentního výzkumu v oblasti supercomputingu a informačních technologií. V této souvislosti bude v projektu pořízena odpovídající výzkumná infrastruktura a vytvořeno výzkumné prostředí zaměřené na rozvoj jak výpočetních metod jako takových (IT jako předmět výzkumu), tak především nástrojů pro jejich efektivní využití (IT jako prostředek pro další výzkum či aplikační využití). Projekt CE IT4Innovarions bude postaven na spolupráci a zkušenostech pěti subjektů.</w:t>
      </w:r>
    </w:p>
    <w:p w:rsidR="007A43A7" w:rsidRPr="003A4E29" w:rsidRDefault="007A43A7" w:rsidP="003A4E29">
      <w:pPr>
        <w:pStyle w:val="Nadpis4"/>
        <w:rPr>
          <w:szCs w:val="24"/>
        </w:rPr>
      </w:pPr>
      <w:r w:rsidRPr="003A4E29">
        <w:t>Rozpočet</w:t>
      </w:r>
    </w:p>
    <w:p w:rsidR="00D21272" w:rsidRPr="00581CD3" w:rsidRDefault="007A43A7" w:rsidP="00581CD3">
      <w:pPr>
        <w:spacing w:after="200"/>
        <w:ind w:firstLine="708"/>
        <w:rPr>
          <w:lang w:eastAsia="cs-CZ" w:bidi="ar-SA"/>
        </w:rPr>
      </w:pPr>
      <w:r w:rsidRPr="0071520F">
        <w:rPr>
          <w:lang w:eastAsia="cs-CZ" w:bidi="ar-SA"/>
        </w:rPr>
        <w:t>Projekt je financován prostřednictvím Operačního programu Výzkum a vývoj pro inovace. Partnery projektu jsou VŠB – TU Ostrava, Ostravská univerzita, VUT v Brně, Slezská univerzita v Opavě a Ústav geoniky AV ČR. Vzhledem k financování tohoto projektu budou i u tohoto částky z města Brna minimální, předpokládá se, že projekt bude schopný a udržitelný sám o sobě, tedy bude schopen si na sebe a své náklad vydělat v budoucnu. Celkové náklady na realizaci projektu v letech 2010 – 2015 činí 2 426 623 196,2 Kč. Výše 1 819 490 241,-Kč byla poskytnuta Operačním programem Výzkum a vývoj pro inovace, přičemž 85% je financováno ze strukturálních fondů EU (Evropský fond regionálního rozvoje) a 15% ze stá</w:t>
      </w:r>
      <w:r w:rsidR="00581CD3">
        <w:rPr>
          <w:lang w:eastAsia="cs-CZ" w:bidi="ar-SA"/>
        </w:rPr>
        <w:t>tního rozpočtu České republiky.</w:t>
      </w:r>
    </w:p>
    <w:p w:rsidR="007A43A7" w:rsidRDefault="007A43A7" w:rsidP="00E65CC7">
      <w:pPr>
        <w:pStyle w:val="Nadpis2"/>
        <w:numPr>
          <w:ilvl w:val="1"/>
          <w:numId w:val="5"/>
        </w:numPr>
        <w:rPr>
          <w:rFonts w:eastAsia="Times New Roman"/>
          <w:lang w:eastAsia="cs-CZ" w:bidi="ar-SA"/>
        </w:rPr>
      </w:pPr>
      <w:bookmarkStart w:id="36" w:name="_Toc407101599"/>
      <w:bookmarkStart w:id="37" w:name="_Toc410160021"/>
      <w:r w:rsidRPr="0071520F">
        <w:rPr>
          <w:rFonts w:eastAsia="Times New Roman"/>
          <w:lang w:eastAsia="cs-CZ" w:bidi="ar-SA"/>
        </w:rPr>
        <w:lastRenderedPageBreak/>
        <w:t>Výstavba vzdělávacího komplexu FEKT VUT v</w:t>
      </w:r>
      <w:r w:rsidR="0071520F">
        <w:rPr>
          <w:rFonts w:eastAsia="Times New Roman"/>
          <w:lang w:eastAsia="cs-CZ" w:bidi="ar-SA"/>
        </w:rPr>
        <w:t> </w:t>
      </w:r>
      <w:r w:rsidRPr="0071520F">
        <w:rPr>
          <w:rFonts w:eastAsia="Times New Roman"/>
          <w:lang w:eastAsia="cs-CZ" w:bidi="ar-SA"/>
        </w:rPr>
        <w:t>Brně</w:t>
      </w:r>
      <w:bookmarkEnd w:id="36"/>
      <w:bookmarkEnd w:id="37"/>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CZ.1.05/4.1.00/04.0129</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3E61">
            <w:pPr>
              <w:jc w:val="left"/>
            </w:pPr>
            <w:r w:rsidRPr="0071520F">
              <w:rPr>
                <w:bCs/>
              </w:rPr>
              <w:t>Infrastruktura pro výuku na vysokých školách spojenou s výzkumem</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Infrastruktura pro výuku na vysokých školách spojenou s výzkumem</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Realizace projektu ukončena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1. 9. 2010</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14. 6. 2013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Vysoké učení technické v Brně</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rFonts w:eastAsia="Times New Roman"/>
              </w:rPr>
              <w:t>1 122 132 363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7A3E61"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A3E61" w:rsidRDefault="007A3E61" w:rsidP="007A43A7">
            <w:pPr>
              <w:rPr>
                <w:rFonts w:eastAsia="Times New Roman" w:cs="Times New Roman"/>
              </w:rPr>
            </w:pPr>
            <w:r w:rsidRPr="007A3E61">
              <w:rPr>
                <w:rFonts w:cs="Times New Roman"/>
                <w:bCs/>
                <w:color w:val="000000"/>
                <w:szCs w:val="20"/>
                <w:shd w:val="clear" w:color="auto" w:fill="F1F1F1"/>
              </w:rPr>
              <w:t>842 815 235 Kč (75 %)</w:t>
            </w:r>
          </w:p>
        </w:tc>
      </w:tr>
    </w:tbl>
    <w:p w:rsidR="007A43A7" w:rsidRPr="007316FA" w:rsidRDefault="0071520F" w:rsidP="007316FA">
      <w:pPr>
        <w:pStyle w:val="Nadpis4"/>
      </w:pPr>
      <w:r w:rsidRPr="007316FA">
        <w:t>Krátký popis projektu</w:t>
      </w:r>
    </w:p>
    <w:p w:rsidR="007A43A7" w:rsidRPr="0071520F" w:rsidRDefault="00BE2C69" w:rsidP="0071520F">
      <w:pPr>
        <w:ind w:firstLine="708"/>
        <w:rPr>
          <w:lang w:eastAsia="cs-CZ" w:bidi="ar-SA"/>
        </w:rPr>
      </w:pPr>
      <w:r>
        <w:rPr>
          <w:lang w:eastAsia="cs-CZ" w:bidi="ar-SA"/>
        </w:rPr>
        <w:t xml:space="preserve">Cílem </w:t>
      </w:r>
      <w:r w:rsidR="007A43A7" w:rsidRPr="0071520F">
        <w:rPr>
          <w:lang w:eastAsia="cs-CZ" w:bidi="ar-SA"/>
        </w:rPr>
        <w:t>výstavb</w:t>
      </w:r>
      <w:r>
        <w:rPr>
          <w:lang w:eastAsia="cs-CZ" w:bidi="ar-SA"/>
        </w:rPr>
        <w:t>y</w:t>
      </w:r>
      <w:r w:rsidR="007A43A7" w:rsidRPr="0071520F">
        <w:rPr>
          <w:lang w:eastAsia="cs-CZ" w:bidi="ar-SA"/>
        </w:rPr>
        <w:t xml:space="preserve"> vzdělávacího komplexu kampusového typu </w:t>
      </w:r>
      <w:r>
        <w:rPr>
          <w:lang w:eastAsia="cs-CZ" w:bidi="ar-SA"/>
        </w:rPr>
        <w:t xml:space="preserve">je </w:t>
      </w:r>
      <w:r w:rsidR="007A43A7" w:rsidRPr="0071520F">
        <w:rPr>
          <w:lang w:eastAsia="cs-CZ" w:bidi="ar-SA"/>
        </w:rPr>
        <w:t>kvalitativní rozvoj výukové a výzk</w:t>
      </w:r>
      <w:r>
        <w:rPr>
          <w:lang w:eastAsia="cs-CZ" w:bidi="ar-SA"/>
        </w:rPr>
        <w:t xml:space="preserve">umně-vývojové činnosti fakulty, kdy se kromě jiného </w:t>
      </w:r>
      <w:r w:rsidR="007A43A7" w:rsidRPr="0071520F">
        <w:rPr>
          <w:lang w:eastAsia="cs-CZ" w:bidi="ar-SA"/>
        </w:rPr>
        <w:t xml:space="preserve">předpokládá zavedení nového interdisciplinárního </w:t>
      </w:r>
      <w:r>
        <w:rPr>
          <w:lang w:eastAsia="cs-CZ" w:bidi="ar-SA"/>
        </w:rPr>
        <w:t>dvou</w:t>
      </w:r>
      <w:r w:rsidR="007A43A7" w:rsidRPr="0071520F">
        <w:rPr>
          <w:lang w:eastAsia="cs-CZ" w:bidi="ar-SA"/>
        </w:rPr>
        <w:t xml:space="preserve">letého navazujícího magisterského studijního programu Biomedicínská technika a bioinformatika a následně stejnojmenného </w:t>
      </w:r>
      <w:r>
        <w:rPr>
          <w:lang w:eastAsia="cs-CZ" w:bidi="ar-SA"/>
        </w:rPr>
        <w:t>čtyř</w:t>
      </w:r>
      <w:r w:rsidR="007A43A7" w:rsidRPr="0071520F">
        <w:rPr>
          <w:lang w:eastAsia="cs-CZ" w:bidi="ar-SA"/>
        </w:rPr>
        <w:t>letého doktorského studijního programu. Doktorský studijní program Elektrotechnika a komunikační technologie, který byl akreditován v roce 2007, bude realizován v moderní infrastruktuře. Studenti magisterských a doktorských studijních programů budou intenzivně zapojeni do vědecko-výzkumné činnosti i v souvislosti s plánovaným vznikem VaV center, n</w:t>
      </w:r>
      <w:r>
        <w:rPr>
          <w:lang w:eastAsia="cs-CZ" w:bidi="ar-SA"/>
        </w:rPr>
        <w:t>apříklad CEITEC, CVVOZE či SIX.</w:t>
      </w:r>
    </w:p>
    <w:p w:rsidR="007A43A7" w:rsidRPr="003A4E29" w:rsidRDefault="0071520F" w:rsidP="003A4E29">
      <w:pPr>
        <w:pStyle w:val="Nadpis4"/>
      </w:pPr>
      <w:r w:rsidRPr="003A4E29">
        <w:t>Rozpočet</w:t>
      </w:r>
    </w:p>
    <w:p w:rsidR="007A43A7" w:rsidRPr="0071520F" w:rsidRDefault="007A43A7" w:rsidP="0071520F">
      <w:pPr>
        <w:ind w:firstLine="708"/>
        <w:rPr>
          <w:lang w:eastAsia="cs-CZ" w:bidi="ar-SA"/>
        </w:rPr>
      </w:pPr>
      <w:r w:rsidRPr="0071520F">
        <w:rPr>
          <w:lang w:eastAsia="cs-CZ" w:bidi="ar-SA"/>
        </w:rPr>
        <w:t>Vybudování komplexu bylo finančně zabezpečeno sdružením finančních prostředků EU (v rámci strukturálních fondů EU) a VUT v Brně, které svými prostředky pokrylo podíl ČR na financování této stavby. Celkové výdaje na stavbu činily 1,122 mld. Kč, (z toho 84</w:t>
      </w:r>
      <w:r w:rsidR="00BE2C69">
        <w:rPr>
          <w:lang w:eastAsia="cs-CZ" w:bidi="ar-SA"/>
        </w:rPr>
        <w:t xml:space="preserve">3 </w:t>
      </w:r>
      <w:r w:rsidRPr="0071520F">
        <w:rPr>
          <w:lang w:eastAsia="cs-CZ" w:bidi="ar-SA"/>
        </w:rPr>
        <w:t>mil. Kč prostředky EU a 279 mil. Kč vlastní zdroje VUT v Brně).</w:t>
      </w:r>
      <w:r w:rsidR="007316FA">
        <w:rPr>
          <w:lang w:eastAsia="cs-CZ" w:bidi="ar-SA"/>
        </w:rPr>
        <w:t xml:space="preserve"> </w:t>
      </w:r>
      <w:r w:rsidRPr="0071520F">
        <w:rPr>
          <w:lang w:eastAsia="cs-CZ" w:bidi="ar-SA"/>
        </w:rPr>
        <w:t xml:space="preserve">Předpokládá se, že ústav bude schopný financovat sám sebe, </w:t>
      </w:r>
      <w:r w:rsidR="00BE2C69" w:rsidRPr="0071520F">
        <w:rPr>
          <w:lang w:eastAsia="cs-CZ" w:bidi="ar-SA"/>
        </w:rPr>
        <w:t xml:space="preserve">pravděpodobně půjde </w:t>
      </w:r>
      <w:r w:rsidRPr="0071520F">
        <w:rPr>
          <w:lang w:eastAsia="cs-CZ" w:bidi="ar-SA"/>
        </w:rPr>
        <w:t>především o různé dotační programy z EU, které se vztahují na školství a vzdělání, případně podporu inovací a technologií. Jako u ostatních vzdělávacích zařízení se tedy počítá s vlastním financováním, případně ze zdrojů Ministerstva školství nebo dalších dotací.</w:t>
      </w:r>
    </w:p>
    <w:p w:rsidR="007A43A7" w:rsidRDefault="007A43A7" w:rsidP="00E65CC7">
      <w:pPr>
        <w:pStyle w:val="Nadpis2"/>
        <w:numPr>
          <w:ilvl w:val="1"/>
          <w:numId w:val="5"/>
        </w:numPr>
        <w:rPr>
          <w:rFonts w:eastAsia="Times New Roman"/>
          <w:lang w:eastAsia="cs-CZ" w:bidi="ar-SA"/>
        </w:rPr>
      </w:pPr>
      <w:bookmarkStart w:id="38" w:name="_Toc407101600"/>
      <w:bookmarkStart w:id="39" w:name="_Toc410160022"/>
      <w:r w:rsidRPr="0071520F">
        <w:rPr>
          <w:rFonts w:eastAsia="Times New Roman"/>
          <w:lang w:eastAsia="cs-CZ" w:bidi="ar-SA"/>
        </w:rPr>
        <w:lastRenderedPageBreak/>
        <w:t>AdMaS - Pokročilé stavební materiály, konstrukce a technologie</w:t>
      </w:r>
      <w:bookmarkEnd w:id="38"/>
      <w:bookmarkEnd w:id="39"/>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CZ.1.05/2.1.00/03.0097</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04035E" w:rsidP="007A43A7">
            <w:pPr>
              <w:rPr>
                <w:b/>
              </w:rPr>
            </w:pPr>
            <w:r w:rsidRPr="0071520F">
              <w:rPr>
                <w:b/>
              </w:rPr>
              <w:t>PRIORITA</w:t>
            </w:r>
            <w:r>
              <w:rPr>
                <w:b/>
              </w:rPr>
              <w:t xml:space="preserve"> / </w:t>
            </w: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Regionální VaV centra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01. 01. 2011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Vysoké učení technické v Brně</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966 516 945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7A3E61"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A3E61" w:rsidRDefault="007A3E61" w:rsidP="007A43A7">
            <w:pPr>
              <w:rPr>
                <w:rFonts w:cs="Times New Roman"/>
                <w:bCs/>
                <w:shd w:val="clear" w:color="auto" w:fill="F1F1F1"/>
              </w:rPr>
            </w:pPr>
            <w:r w:rsidRPr="007A3E61">
              <w:rPr>
                <w:rFonts w:cs="Times New Roman"/>
                <w:bCs/>
                <w:color w:val="000000"/>
                <w:szCs w:val="20"/>
                <w:shd w:val="clear" w:color="auto" w:fill="F1F1F1"/>
              </w:rPr>
              <w:t>672 464 263 Kč (70 %)</w:t>
            </w:r>
          </w:p>
        </w:tc>
      </w:tr>
    </w:tbl>
    <w:p w:rsidR="007A43A7" w:rsidRPr="00BE2C69" w:rsidRDefault="007A43A7" w:rsidP="00BE2C69">
      <w:pPr>
        <w:pStyle w:val="Nadpis4"/>
      </w:pPr>
      <w:r w:rsidRPr="00BE2C69">
        <w:t>Krátký popis projektu</w:t>
      </w:r>
    </w:p>
    <w:p w:rsidR="007A43A7" w:rsidRPr="0071520F" w:rsidRDefault="007A43A7" w:rsidP="00CA279A">
      <w:pPr>
        <w:ind w:firstLine="708"/>
        <w:rPr>
          <w:lang w:eastAsia="cs-CZ" w:bidi="ar-SA"/>
        </w:rPr>
      </w:pPr>
      <w:r w:rsidRPr="0071520F">
        <w:rPr>
          <w:lang w:eastAsia="cs-CZ" w:bidi="ar-SA"/>
        </w:rPr>
        <w:t xml:space="preserve">Centrum </w:t>
      </w:r>
      <w:proofErr w:type="spellStart"/>
      <w:r w:rsidRPr="0071520F">
        <w:rPr>
          <w:lang w:eastAsia="cs-CZ" w:bidi="ar-SA"/>
        </w:rPr>
        <w:t>AdMaS</w:t>
      </w:r>
      <w:proofErr w:type="spellEnd"/>
      <w:r w:rsidRPr="0071520F">
        <w:rPr>
          <w:lang w:eastAsia="cs-CZ" w:bidi="ar-SA"/>
        </w:rPr>
        <w:t xml:space="preserve"> (</w:t>
      </w:r>
      <w:proofErr w:type="spellStart"/>
      <w:r w:rsidRPr="0071520F">
        <w:rPr>
          <w:lang w:eastAsia="cs-CZ" w:bidi="ar-SA"/>
        </w:rPr>
        <w:t>Advanced</w:t>
      </w:r>
      <w:proofErr w:type="spellEnd"/>
      <w:r w:rsidRPr="0071520F">
        <w:rPr>
          <w:lang w:eastAsia="cs-CZ" w:bidi="ar-SA"/>
        </w:rPr>
        <w:t xml:space="preserve"> </w:t>
      </w:r>
      <w:proofErr w:type="spellStart"/>
      <w:r w:rsidRPr="0071520F">
        <w:rPr>
          <w:lang w:eastAsia="cs-CZ" w:bidi="ar-SA"/>
        </w:rPr>
        <w:t>Materials</w:t>
      </w:r>
      <w:proofErr w:type="spellEnd"/>
      <w:r w:rsidRPr="0071520F">
        <w:rPr>
          <w:lang w:eastAsia="cs-CZ" w:bidi="ar-SA"/>
        </w:rPr>
        <w:t xml:space="preserve">, </w:t>
      </w:r>
      <w:proofErr w:type="spellStart"/>
      <w:r w:rsidRPr="0071520F">
        <w:rPr>
          <w:lang w:eastAsia="cs-CZ" w:bidi="ar-SA"/>
        </w:rPr>
        <w:t>Structures</w:t>
      </w:r>
      <w:proofErr w:type="spellEnd"/>
      <w:r w:rsidRPr="0071520F">
        <w:rPr>
          <w:lang w:eastAsia="cs-CZ" w:bidi="ar-SA"/>
        </w:rPr>
        <w:t xml:space="preserve"> and Technologies</w:t>
      </w:r>
      <w:r w:rsidR="00CA279A">
        <w:rPr>
          <w:lang w:eastAsia="cs-CZ" w:bidi="ar-SA"/>
        </w:rPr>
        <w:t xml:space="preserve"> / </w:t>
      </w:r>
      <w:r w:rsidRPr="0071520F">
        <w:rPr>
          <w:lang w:eastAsia="cs-CZ" w:bidi="ar-SA"/>
        </w:rPr>
        <w:t xml:space="preserve">Pokročilé stavební materiály, konstrukce a technologie) </w:t>
      </w:r>
      <w:r w:rsidR="00D21272">
        <w:rPr>
          <w:lang w:eastAsia="cs-CZ" w:bidi="ar-SA"/>
        </w:rPr>
        <w:t>se snaží o změnu zastaralé infrastruktury</w:t>
      </w:r>
      <w:r w:rsidRPr="0071520F">
        <w:rPr>
          <w:lang w:eastAsia="cs-CZ" w:bidi="ar-SA"/>
        </w:rPr>
        <w:t xml:space="preserve"> pro vědeckovýzkumnou činnost na Fakult</w:t>
      </w:r>
      <w:r w:rsidR="00D21272">
        <w:rPr>
          <w:lang w:eastAsia="cs-CZ" w:bidi="ar-SA"/>
        </w:rPr>
        <w:t xml:space="preserve">ě stavební VUT v Brně. Cílem je </w:t>
      </w:r>
      <w:r w:rsidRPr="0071520F">
        <w:rPr>
          <w:lang w:eastAsia="cs-CZ" w:bidi="ar-SA"/>
        </w:rPr>
        <w:t>obnovit a rozvinout experimentální a výpočtovou platformu v oboru stavebního inženýrství vybudováním a zprovozněním nových laboratoří, jejich vybavením vhodnou experimentální a výpočetní technikou</w:t>
      </w:r>
      <w:r w:rsidR="00D21272">
        <w:rPr>
          <w:lang w:eastAsia="cs-CZ" w:bidi="ar-SA"/>
        </w:rPr>
        <w:t>. Nosnou</w:t>
      </w:r>
      <w:r w:rsidRPr="0071520F">
        <w:rPr>
          <w:lang w:eastAsia="cs-CZ" w:bidi="ar-SA"/>
        </w:rPr>
        <w:t xml:space="preserve"> ideou je snaha vybudovat komplexní centrum, které bude integrovat poznatky z jednotlivých dílčích oborů výzkumu materiálového,</w:t>
      </w:r>
      <w:r w:rsidR="00BE2C69">
        <w:rPr>
          <w:lang w:eastAsia="cs-CZ" w:bidi="ar-SA"/>
        </w:rPr>
        <w:t xml:space="preserve"> technologického, konstrukčního</w:t>
      </w:r>
      <w:r w:rsidRPr="0071520F">
        <w:rPr>
          <w:lang w:eastAsia="cs-CZ" w:bidi="ar-SA"/>
        </w:rPr>
        <w:t xml:space="preserve"> a umožní je nejen teoreticky, ale i prakticky verifikovat.</w:t>
      </w:r>
    </w:p>
    <w:p w:rsidR="007A43A7" w:rsidRPr="003A4E29" w:rsidRDefault="0071520F" w:rsidP="003A4E29">
      <w:pPr>
        <w:pStyle w:val="Nadpis4"/>
      </w:pPr>
      <w:r w:rsidRPr="003A4E29">
        <w:t>Rozpočet</w:t>
      </w:r>
    </w:p>
    <w:p w:rsidR="007A43A7" w:rsidRPr="0071520F" w:rsidRDefault="007A43A7" w:rsidP="0071520F">
      <w:pPr>
        <w:ind w:firstLine="708"/>
        <w:rPr>
          <w:rFonts w:cstheme="minorBidi"/>
          <w:sz w:val="22"/>
          <w:szCs w:val="22"/>
          <w:lang w:eastAsia="cs-CZ" w:bidi="ar-SA"/>
        </w:rPr>
      </w:pPr>
      <w:r w:rsidRPr="0071520F">
        <w:rPr>
          <w:shd w:val="clear" w:color="auto" w:fill="FFFFFF"/>
          <w:lang w:eastAsia="cs-CZ" w:bidi="ar-SA"/>
        </w:rPr>
        <w:t>Centrum bylo úspěšné ve 3. kole veřejné soutěže Národní program udržitelnosti</w:t>
      </w:r>
      <w:r w:rsidR="00D21272" w:rsidRPr="0071520F">
        <w:rPr>
          <w:shd w:val="clear" w:color="auto" w:fill="FFFFFF"/>
          <w:lang w:eastAsia="cs-CZ" w:bidi="ar-SA"/>
        </w:rPr>
        <w:t xml:space="preserve"> </w:t>
      </w:r>
      <w:r w:rsidRPr="0071520F">
        <w:rPr>
          <w:shd w:val="clear" w:color="auto" w:fill="FFFFFF"/>
          <w:lang w:eastAsia="cs-CZ" w:bidi="ar-SA"/>
        </w:rPr>
        <w:t>Ministerstva školství mládeže a tělovýchovy</w:t>
      </w:r>
      <w:r w:rsidR="00D21272">
        <w:rPr>
          <w:shd w:val="clear" w:color="auto" w:fill="FFFFFF"/>
          <w:lang w:eastAsia="cs-CZ" w:bidi="ar-SA"/>
        </w:rPr>
        <w:t>, který je</w:t>
      </w:r>
      <w:r w:rsidRPr="0071520F">
        <w:rPr>
          <w:shd w:val="clear" w:color="auto" w:fill="FFFFFF"/>
          <w:lang w:eastAsia="cs-CZ" w:bidi="ar-SA"/>
        </w:rPr>
        <w:t xml:space="preserve"> určený na dlouhodobé financování vznikajících vědeckých center.</w:t>
      </w:r>
      <w:r w:rsidRPr="0071520F">
        <w:rPr>
          <w:lang w:eastAsia="cs-CZ" w:bidi="ar-SA"/>
        </w:rPr>
        <w:t xml:space="preserve"> Na příštích pět let obdrží podporu ve výši 143</w:t>
      </w:r>
      <w:r w:rsidR="00D21272">
        <w:rPr>
          <w:lang w:eastAsia="cs-CZ" w:bidi="ar-SA"/>
        </w:rPr>
        <w:t xml:space="preserve"> mil</w:t>
      </w:r>
      <w:r w:rsidRPr="0071520F">
        <w:rPr>
          <w:lang w:eastAsia="cs-CZ" w:bidi="ar-SA"/>
        </w:rPr>
        <w:t>. Kč. Zbylou sumu do celkového provozního rozpočtu 353</w:t>
      </w:r>
      <w:r w:rsidR="00D21272">
        <w:rPr>
          <w:lang w:eastAsia="cs-CZ" w:bidi="ar-SA"/>
        </w:rPr>
        <w:t xml:space="preserve"> mil</w:t>
      </w:r>
      <w:r w:rsidRPr="0071520F">
        <w:rPr>
          <w:lang w:eastAsia="cs-CZ" w:bidi="ar-SA"/>
        </w:rPr>
        <w:t>. Kč si bude muset centrum zajistit prostřednictvím dalších grantů a spolupráce na výzkumu s privátními subjekty.</w:t>
      </w:r>
      <w:r w:rsidR="00BE2C69">
        <w:rPr>
          <w:lang w:eastAsia="cs-CZ" w:bidi="ar-SA"/>
        </w:rPr>
        <w:t xml:space="preserve"> </w:t>
      </w:r>
      <w:r w:rsidRPr="0071520F">
        <w:rPr>
          <w:lang w:eastAsia="cs-CZ" w:bidi="ar-SA"/>
        </w:rPr>
        <w:t>Centrum AdMaS vzniklo díky finanční podpoře z Operačního programu Výzkum a vývoj pro inovace, konkrétně prioritní osy 2, ze kterého získalo dotaci ve výši 818 mil</w:t>
      </w:r>
      <w:r w:rsidR="00D21272">
        <w:rPr>
          <w:lang w:eastAsia="cs-CZ" w:bidi="ar-SA"/>
        </w:rPr>
        <w:t>.</w:t>
      </w:r>
      <w:r w:rsidRPr="0071520F">
        <w:rPr>
          <w:lang w:eastAsia="cs-CZ" w:bidi="ar-SA"/>
        </w:rPr>
        <w:t xml:space="preserve"> Kč (695 mil</w:t>
      </w:r>
      <w:r w:rsidR="00D21272">
        <w:rPr>
          <w:lang w:eastAsia="cs-CZ" w:bidi="ar-SA"/>
        </w:rPr>
        <w:t>.</w:t>
      </w:r>
      <w:r w:rsidRPr="0071520F">
        <w:rPr>
          <w:lang w:eastAsia="cs-CZ" w:bidi="ar-SA"/>
        </w:rPr>
        <w:t xml:space="preserve"> Kč z Evropského fondu pro regionální rozvoj a 123 mil</w:t>
      </w:r>
      <w:r w:rsidR="00D21272">
        <w:rPr>
          <w:lang w:eastAsia="cs-CZ" w:bidi="ar-SA"/>
        </w:rPr>
        <w:t>.</w:t>
      </w:r>
      <w:r w:rsidRPr="0071520F">
        <w:rPr>
          <w:lang w:eastAsia="cs-CZ" w:bidi="ar-SA"/>
        </w:rPr>
        <w:t xml:space="preserve"> Kč ze státního rozpočtu ČR). V rámci budoucích let by tam mělo centrum vystačit s vlastními financemi získaných z grantů nebo z financí, které vyhráli ve výše zmíněné soutěži. Proto i zde je dopad na rozpočet MB minimální, zvláště pak vzhledem k velikosti projektu a jeho přínosům. </w:t>
      </w:r>
    </w:p>
    <w:p w:rsidR="007A43A7" w:rsidRDefault="007A43A7" w:rsidP="00E65CC7">
      <w:pPr>
        <w:pStyle w:val="Nadpis2"/>
        <w:numPr>
          <w:ilvl w:val="1"/>
          <w:numId w:val="5"/>
        </w:numPr>
        <w:rPr>
          <w:lang w:eastAsia="cs-CZ" w:bidi="ar-SA"/>
        </w:rPr>
      </w:pPr>
      <w:bookmarkStart w:id="40" w:name="_Toc407101601"/>
      <w:bookmarkStart w:id="41" w:name="_Toc410160023"/>
      <w:r w:rsidRPr="0071520F">
        <w:rPr>
          <w:lang w:eastAsia="cs-CZ" w:bidi="ar-SA"/>
        </w:rPr>
        <w:lastRenderedPageBreak/>
        <w:t>CzechGlobe – Centrum pro studium dopadů globální změny klimatu</w:t>
      </w:r>
      <w:bookmarkEnd w:id="40"/>
      <w:bookmarkEnd w:id="41"/>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CZ.1.05/1.1.00/02.0073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04035E" w:rsidP="007A43A7">
            <w:pPr>
              <w:rPr>
                <w:b/>
              </w:rPr>
            </w:pPr>
            <w:r w:rsidRPr="0071520F">
              <w:rPr>
                <w:b/>
              </w:rPr>
              <w:t>PRIORITA</w:t>
            </w:r>
            <w:r>
              <w:rPr>
                <w:b/>
              </w:rPr>
              <w:t xml:space="preserve"> / </w:t>
            </w: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Evropská centra excelence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1. 12. 2010</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BE2C69">
            <w:r w:rsidRPr="0071520F">
              <w:rPr>
                <w:bCs/>
              </w:rPr>
              <w:t xml:space="preserve">Centrum výzkumu globální změny AV ČR, </w:t>
            </w:r>
            <w:proofErr w:type="gramStart"/>
            <w:r w:rsidRPr="0071520F">
              <w:rPr>
                <w:bCs/>
              </w:rPr>
              <w:t>v.v.</w:t>
            </w:r>
            <w:proofErr w:type="gramEnd"/>
            <w:r w:rsidRPr="0071520F">
              <w:rPr>
                <w:bCs/>
              </w:rPr>
              <w:t>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961 884 080 Kč</w:t>
            </w:r>
          </w:p>
        </w:tc>
      </w:tr>
      <w:tr w:rsidR="007A3E61"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E61" w:rsidRPr="0071520F" w:rsidRDefault="007A3E61" w:rsidP="007A3E61">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E61" w:rsidRPr="00680A84" w:rsidRDefault="00680A84" w:rsidP="007A43A7">
            <w:pPr>
              <w:rPr>
                <w:rFonts w:cs="Times New Roman"/>
              </w:rPr>
            </w:pPr>
            <w:r w:rsidRPr="00680A84">
              <w:rPr>
                <w:rFonts w:cs="Times New Roman"/>
                <w:bCs/>
                <w:color w:val="000000"/>
                <w:szCs w:val="20"/>
                <w:shd w:val="clear" w:color="auto" w:fill="F1F1F1"/>
              </w:rPr>
              <w:t>548 626 862 Kč (57 %)</w:t>
            </w:r>
          </w:p>
        </w:tc>
      </w:tr>
    </w:tbl>
    <w:p w:rsidR="007A43A7" w:rsidRPr="003A4E29" w:rsidRDefault="0071520F" w:rsidP="003A4E29">
      <w:pPr>
        <w:pStyle w:val="Nadpis4"/>
      </w:pPr>
      <w:r w:rsidRPr="003A4E29">
        <w:t>Krátký popis projektu</w:t>
      </w:r>
      <w:bookmarkStart w:id="42" w:name="_GoBack"/>
      <w:bookmarkEnd w:id="42"/>
    </w:p>
    <w:p w:rsidR="007A43A7" w:rsidRPr="0071520F" w:rsidRDefault="003A4E29" w:rsidP="00BE2C69">
      <w:pPr>
        <w:ind w:firstLine="708"/>
        <w:rPr>
          <w:shd w:val="clear" w:color="auto" w:fill="FFFFFF"/>
          <w:lang w:eastAsia="cs-CZ" w:bidi="ar-SA"/>
        </w:rPr>
      </w:pPr>
      <w:r>
        <w:rPr>
          <w:shd w:val="clear" w:color="auto" w:fill="FFFFFF"/>
          <w:lang w:eastAsia="cs-CZ" w:bidi="ar-SA"/>
        </w:rPr>
        <w:t>Cílem p</w:t>
      </w:r>
      <w:r w:rsidR="007A43A7" w:rsidRPr="0071520F">
        <w:rPr>
          <w:shd w:val="clear" w:color="auto" w:fill="FFFFFF"/>
          <w:lang w:eastAsia="cs-CZ" w:bidi="ar-SA"/>
        </w:rPr>
        <w:t>rojekt</w:t>
      </w:r>
      <w:r>
        <w:rPr>
          <w:shd w:val="clear" w:color="auto" w:fill="FFFFFF"/>
          <w:lang w:eastAsia="cs-CZ" w:bidi="ar-SA"/>
        </w:rPr>
        <w:t>u je</w:t>
      </w:r>
      <w:r w:rsidR="007A43A7" w:rsidRPr="0071520F">
        <w:rPr>
          <w:shd w:val="clear" w:color="auto" w:fill="FFFFFF"/>
          <w:lang w:eastAsia="cs-CZ" w:bidi="ar-SA"/>
        </w:rPr>
        <w:t xml:space="preserve"> vytvoření infrastruktury </w:t>
      </w:r>
      <w:r>
        <w:rPr>
          <w:shd w:val="clear" w:color="auto" w:fill="FFFFFF"/>
          <w:lang w:eastAsia="cs-CZ" w:bidi="ar-SA"/>
        </w:rPr>
        <w:t>zaměřené</w:t>
      </w:r>
      <w:r w:rsidR="007A43A7" w:rsidRPr="0071520F">
        <w:rPr>
          <w:shd w:val="clear" w:color="auto" w:fill="FFFFFF"/>
          <w:lang w:eastAsia="cs-CZ" w:bidi="ar-SA"/>
        </w:rPr>
        <w:t xml:space="preserve"> na studium dopadů globální změny klimatu (GZK). Centrum je </w:t>
      </w:r>
      <w:r w:rsidR="00D21272">
        <w:rPr>
          <w:shd w:val="clear" w:color="auto" w:fill="FFFFFF"/>
          <w:lang w:eastAsia="cs-CZ" w:bidi="ar-SA"/>
        </w:rPr>
        <w:t>tvořeno</w:t>
      </w:r>
      <w:r w:rsidR="007A43A7" w:rsidRPr="0071520F">
        <w:rPr>
          <w:shd w:val="clear" w:color="auto" w:fill="FFFFFF"/>
          <w:lang w:eastAsia="cs-CZ" w:bidi="ar-SA"/>
        </w:rPr>
        <w:t xml:space="preserve"> sítí monitorovacích stanic, laboratorního a experimentálního zázemí pro studium a modelování dopadů GZK v různých hi</w:t>
      </w:r>
      <w:r>
        <w:rPr>
          <w:shd w:val="clear" w:color="auto" w:fill="FFFFFF"/>
          <w:lang w:eastAsia="cs-CZ" w:bidi="ar-SA"/>
        </w:rPr>
        <w:t xml:space="preserve">erarchických úrovních biosféry. </w:t>
      </w:r>
      <w:r w:rsidR="007A43A7" w:rsidRPr="0071520F">
        <w:rPr>
          <w:shd w:val="clear" w:color="auto" w:fill="FFFFFF"/>
          <w:lang w:eastAsia="cs-CZ" w:bidi="ar-SA"/>
        </w:rPr>
        <w:t>Klíčovými aplikačními výstupy jsou zejména využitelné scénáře vývoje GZK, hodnocení socio-ekonomických důsledků, podklady pro emisní strategii CO</w:t>
      </w:r>
      <w:r w:rsidR="007A43A7" w:rsidRPr="00BE2C69">
        <w:rPr>
          <w:shd w:val="clear" w:color="auto" w:fill="FFFFFF"/>
          <w:vertAlign w:val="subscript"/>
          <w:lang w:eastAsia="cs-CZ" w:bidi="ar-SA"/>
        </w:rPr>
        <w:t>2</w:t>
      </w:r>
      <w:r w:rsidR="007A43A7" w:rsidRPr="0071520F">
        <w:rPr>
          <w:shd w:val="clear" w:color="auto" w:fill="FFFFFF"/>
          <w:lang w:eastAsia="cs-CZ" w:bidi="ar-SA"/>
        </w:rPr>
        <w:t>, dlouhodobá kvantifikace uhlíkových úložišť, adaptace rostlin na GZK, metodické</w:t>
      </w:r>
      <w:r w:rsidR="00CA279A">
        <w:rPr>
          <w:shd w:val="clear" w:color="auto" w:fill="FFFFFF"/>
          <w:lang w:eastAsia="cs-CZ" w:bidi="ar-SA"/>
        </w:rPr>
        <w:t xml:space="preserve"> podklady pro vývoj systému „</w:t>
      </w:r>
      <w:r w:rsidR="007A43A7" w:rsidRPr="0071520F">
        <w:rPr>
          <w:shd w:val="clear" w:color="auto" w:fill="FFFFFF"/>
          <w:lang w:eastAsia="cs-CZ" w:bidi="ar-SA"/>
        </w:rPr>
        <w:t>C</w:t>
      </w:r>
      <w:r w:rsidR="00CA279A">
        <w:rPr>
          <w:shd w:val="clear" w:color="auto" w:fill="FFFFFF"/>
          <w:lang w:eastAsia="cs-CZ" w:bidi="ar-SA"/>
        </w:rPr>
        <w:t>arbon-landscaping and Forestr“</w:t>
      </w:r>
      <w:r w:rsidR="007A43A7" w:rsidRPr="0071520F">
        <w:rPr>
          <w:shd w:val="clear" w:color="auto" w:fill="FFFFFF"/>
          <w:lang w:eastAsia="cs-CZ" w:bidi="ar-SA"/>
        </w:rPr>
        <w:t xml:space="preserve">, produkci energie z biomasy rychle rostoucích dřevin. Inovačním výstupem bude zejména vývoj systémů </w:t>
      </w:r>
      <w:r w:rsidR="00CA279A">
        <w:rPr>
          <w:shd w:val="clear" w:color="auto" w:fill="FFFFFF"/>
          <w:lang w:eastAsia="cs-CZ" w:bidi="ar-SA"/>
        </w:rPr>
        <w:t>„</w:t>
      </w:r>
      <w:r w:rsidR="007A43A7" w:rsidRPr="0071520F">
        <w:rPr>
          <w:shd w:val="clear" w:color="auto" w:fill="FFFFFF"/>
          <w:lang w:eastAsia="cs-CZ" w:bidi="ar-SA"/>
        </w:rPr>
        <w:t>clean energy</w:t>
      </w:r>
      <w:r w:rsidR="00CA279A">
        <w:rPr>
          <w:shd w:val="clear" w:color="auto" w:fill="FFFFFF"/>
          <w:lang w:eastAsia="cs-CZ" w:bidi="ar-SA"/>
        </w:rPr>
        <w:t>“</w:t>
      </w:r>
      <w:r w:rsidR="007A43A7" w:rsidRPr="0071520F">
        <w:rPr>
          <w:shd w:val="clear" w:color="auto" w:fill="FFFFFF"/>
          <w:lang w:eastAsia="cs-CZ" w:bidi="ar-SA"/>
        </w:rPr>
        <w:t xml:space="preserve"> - biologické odstraňování CO</w:t>
      </w:r>
      <w:r w:rsidR="007A43A7" w:rsidRPr="00BE2C69">
        <w:rPr>
          <w:shd w:val="clear" w:color="auto" w:fill="FFFFFF"/>
          <w:vertAlign w:val="subscript"/>
          <w:lang w:eastAsia="cs-CZ" w:bidi="ar-SA"/>
        </w:rPr>
        <w:t>2</w:t>
      </w:r>
      <w:r w:rsidR="007A43A7" w:rsidRPr="0071520F">
        <w:rPr>
          <w:shd w:val="clear" w:color="auto" w:fill="FFFFFF"/>
          <w:lang w:eastAsia="cs-CZ" w:bidi="ar-SA"/>
        </w:rPr>
        <w:t xml:space="preserve"> při produkci energie a</w:t>
      </w:r>
      <w:r w:rsidR="00BE2C69">
        <w:rPr>
          <w:shd w:val="clear" w:color="auto" w:fill="FFFFFF"/>
          <w:lang w:eastAsia="cs-CZ" w:bidi="ar-SA"/>
        </w:rPr>
        <w:t xml:space="preserve"> produkci biopaliv 3. generace.</w:t>
      </w:r>
    </w:p>
    <w:p w:rsidR="007A43A7" w:rsidRPr="003A4E29" w:rsidRDefault="0071520F" w:rsidP="003A4E29">
      <w:pPr>
        <w:pStyle w:val="Nadpis4"/>
      </w:pPr>
      <w:r w:rsidRPr="003A4E29">
        <w:t>Rozpočet</w:t>
      </w:r>
    </w:p>
    <w:p w:rsidR="007A43A7" w:rsidRPr="0071520F" w:rsidRDefault="007A43A7" w:rsidP="0071520F">
      <w:pPr>
        <w:spacing w:after="200"/>
        <w:ind w:firstLine="708"/>
        <w:rPr>
          <w:shd w:val="clear" w:color="auto" w:fill="FFFFFF"/>
          <w:lang w:eastAsia="cs-CZ" w:bidi="ar-SA"/>
        </w:rPr>
      </w:pPr>
      <w:r w:rsidRPr="0071520F">
        <w:rPr>
          <w:shd w:val="clear" w:color="auto" w:fill="FFFFFF"/>
          <w:lang w:eastAsia="cs-CZ" w:bidi="ar-SA"/>
        </w:rPr>
        <w:t>Centrum excelence CzechGlobe je finančně zabezpečováno z několika zdrojů</w:t>
      </w:r>
      <w:r w:rsidR="003A4E29">
        <w:rPr>
          <w:shd w:val="clear" w:color="auto" w:fill="FFFFFF"/>
          <w:lang w:eastAsia="cs-CZ" w:bidi="ar-SA"/>
        </w:rPr>
        <w:t xml:space="preserve">, a to jak </w:t>
      </w:r>
      <w:r w:rsidRPr="0071520F">
        <w:rPr>
          <w:shd w:val="clear" w:color="auto" w:fill="FFFFFF"/>
          <w:lang w:eastAsia="cs-CZ" w:bidi="ar-SA"/>
        </w:rPr>
        <w:t>z institucionálních zdrojů poskytnutých Akademií věd ČR, ale</w:t>
      </w:r>
      <w:r w:rsidR="003A4E29">
        <w:rPr>
          <w:shd w:val="clear" w:color="auto" w:fill="FFFFFF"/>
          <w:lang w:eastAsia="cs-CZ" w:bidi="ar-SA"/>
        </w:rPr>
        <w:t xml:space="preserve"> i</w:t>
      </w:r>
      <w:r w:rsidRPr="0071520F">
        <w:rPr>
          <w:shd w:val="clear" w:color="auto" w:fill="FFFFFF"/>
          <w:lang w:eastAsia="cs-CZ" w:bidi="ar-SA"/>
        </w:rPr>
        <w:t xml:space="preserve"> </w:t>
      </w:r>
      <w:r w:rsidR="003A4E29">
        <w:rPr>
          <w:shd w:val="clear" w:color="auto" w:fill="FFFFFF"/>
          <w:lang w:eastAsia="cs-CZ" w:bidi="ar-SA"/>
        </w:rPr>
        <w:t>skrze</w:t>
      </w:r>
      <w:r w:rsidRPr="0071520F">
        <w:rPr>
          <w:shd w:val="clear" w:color="auto" w:fill="FFFFFF"/>
          <w:lang w:eastAsia="cs-CZ" w:bidi="ar-SA"/>
        </w:rPr>
        <w:t xml:space="preserve"> účelové finanční prostředky získané z grantů národních poskytovatelů operačních programů (OP Věda a výzkum pro inovace a OP Vzdělávání pro konkurenceschopnost) a zahraničních poskytovatelů (Rámcové programy, ESFRI). Celková částka poskytnuta Evropskou unií je 54</w:t>
      </w:r>
      <w:r w:rsidR="003A4E29">
        <w:rPr>
          <w:shd w:val="clear" w:color="auto" w:fill="FFFFFF"/>
          <w:lang w:eastAsia="cs-CZ" w:bidi="ar-SA"/>
        </w:rPr>
        <w:t xml:space="preserve">9 mil. </w:t>
      </w:r>
      <w:r w:rsidRPr="0071520F">
        <w:rPr>
          <w:shd w:val="clear" w:color="auto" w:fill="FFFFFF"/>
          <w:lang w:eastAsia="cs-CZ" w:bidi="ar-SA"/>
        </w:rPr>
        <w:t>Kč, která je hlavním zdrojem financování tohoto projektu. Financování je také postaveno na smluvním výzkumu s odborníky z komerčních firem a veřejných institucí, kteří mohou specializovanou infrastrukturu za poplatek využíva</w:t>
      </w:r>
      <w:r w:rsidR="00BE2C69">
        <w:rPr>
          <w:shd w:val="clear" w:color="auto" w:fill="FFFFFF"/>
          <w:lang w:eastAsia="cs-CZ" w:bidi="ar-SA"/>
        </w:rPr>
        <w:t>t. Předpokládá se</w:t>
      </w:r>
      <w:r w:rsidRPr="0071520F">
        <w:rPr>
          <w:shd w:val="clear" w:color="auto" w:fill="FFFFFF"/>
          <w:lang w:eastAsia="cs-CZ" w:bidi="ar-SA"/>
        </w:rPr>
        <w:t xml:space="preserve">, že projekt bude schopen </w:t>
      </w:r>
      <w:r w:rsidR="00BE2C69">
        <w:rPr>
          <w:shd w:val="clear" w:color="auto" w:fill="FFFFFF"/>
          <w:lang w:eastAsia="cs-CZ" w:bidi="ar-SA"/>
        </w:rPr>
        <w:t xml:space="preserve">pokrývat </w:t>
      </w:r>
      <w:r w:rsidR="003A4E29">
        <w:rPr>
          <w:shd w:val="clear" w:color="auto" w:fill="FFFFFF"/>
          <w:lang w:eastAsia="cs-CZ" w:bidi="ar-SA"/>
        </w:rPr>
        <w:t>své náklady a zatížení</w:t>
      </w:r>
      <w:r w:rsidR="003A4E29" w:rsidRPr="0071520F">
        <w:rPr>
          <w:shd w:val="clear" w:color="auto" w:fill="FFFFFF"/>
          <w:lang w:eastAsia="cs-CZ" w:bidi="ar-SA"/>
        </w:rPr>
        <w:t xml:space="preserve"> pro </w:t>
      </w:r>
      <w:r w:rsidR="003A4E29">
        <w:rPr>
          <w:shd w:val="clear" w:color="auto" w:fill="FFFFFF"/>
          <w:lang w:eastAsia="cs-CZ" w:bidi="ar-SA"/>
        </w:rPr>
        <w:t>rozpočet města Brna by tedy měl</w:t>
      </w:r>
      <w:r w:rsidR="00BE2C69">
        <w:rPr>
          <w:shd w:val="clear" w:color="auto" w:fill="FFFFFF"/>
          <w:lang w:eastAsia="cs-CZ" w:bidi="ar-SA"/>
        </w:rPr>
        <w:t>o</w:t>
      </w:r>
      <w:r w:rsidR="003A4E29" w:rsidRPr="0071520F">
        <w:rPr>
          <w:shd w:val="clear" w:color="auto" w:fill="FFFFFF"/>
          <w:lang w:eastAsia="cs-CZ" w:bidi="ar-SA"/>
        </w:rPr>
        <w:t xml:space="preserve"> </w:t>
      </w:r>
      <w:r w:rsidR="003A4E29">
        <w:rPr>
          <w:shd w:val="clear" w:color="auto" w:fill="FFFFFF"/>
          <w:lang w:eastAsia="cs-CZ" w:bidi="ar-SA"/>
        </w:rPr>
        <w:t>být minimální</w:t>
      </w:r>
      <w:r w:rsidR="003A4E29" w:rsidRPr="0071520F">
        <w:rPr>
          <w:shd w:val="clear" w:color="auto" w:fill="FFFFFF"/>
          <w:lang w:eastAsia="cs-CZ" w:bidi="ar-SA"/>
        </w:rPr>
        <w:t>.</w:t>
      </w:r>
    </w:p>
    <w:p w:rsidR="0071520F" w:rsidRPr="0071520F" w:rsidRDefault="007A43A7" w:rsidP="0071520F">
      <w:pPr>
        <w:pStyle w:val="Nadpis2"/>
        <w:numPr>
          <w:ilvl w:val="1"/>
          <w:numId w:val="5"/>
        </w:numPr>
      </w:pPr>
      <w:bookmarkStart w:id="43" w:name="_Toc407101602"/>
      <w:bookmarkStart w:id="44" w:name="_Toc410160024"/>
      <w:r w:rsidRPr="0071520F">
        <w:lastRenderedPageBreak/>
        <w:t>Aplikační a vývojové laboratoře pokročilých mikrotechnologií a nanotechnologií</w:t>
      </w:r>
      <w:bookmarkEnd w:id="43"/>
      <w:bookmarkEnd w:id="44"/>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CZ.1.05/2.1.00/01.0017</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04035E" w:rsidP="007A43A7">
            <w:pPr>
              <w:rPr>
                <w:b/>
              </w:rPr>
            </w:pPr>
            <w:r w:rsidRPr="0071520F">
              <w:rPr>
                <w:b/>
              </w:rPr>
              <w:t>PRIORITA</w:t>
            </w:r>
            <w:r>
              <w:rPr>
                <w:b/>
              </w:rPr>
              <w:t xml:space="preserve"> / </w:t>
            </w: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Regionální VaV centra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Realizace projektu ukončena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rPr>
              <w:t>1. 1. 2010</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rPr>
              <w:t>31. 12. 2013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D56EF6">
            <w:r w:rsidRPr="0071520F">
              <w:rPr>
                <w:bCs/>
              </w:rPr>
              <w:t xml:space="preserve">Ústav přístrojové techniky AV ČR, </w:t>
            </w:r>
            <w:proofErr w:type="gramStart"/>
            <w:r w:rsidRPr="0071520F">
              <w:rPr>
                <w:bCs/>
              </w:rPr>
              <w:t>v.v.</w:t>
            </w:r>
            <w:proofErr w:type="gramEnd"/>
            <w:r w:rsidRPr="0071520F">
              <w:rPr>
                <w:bCs/>
              </w:rPr>
              <w:t>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511 532 307 Kč</w:t>
            </w:r>
          </w:p>
        </w:tc>
      </w:tr>
      <w:tr w:rsidR="007A3E61"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E61" w:rsidRPr="0071520F" w:rsidRDefault="007A3E61"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A3E61" w:rsidRPr="00581CD3" w:rsidRDefault="007A3E61" w:rsidP="007A43A7">
            <w:pPr>
              <w:rPr>
                <w:rFonts w:cs="Times New Roman"/>
              </w:rPr>
            </w:pPr>
            <w:r w:rsidRPr="00581CD3">
              <w:rPr>
                <w:rFonts w:cs="Times New Roman"/>
                <w:bCs/>
                <w:color w:val="000000"/>
                <w:szCs w:val="20"/>
                <w:shd w:val="clear" w:color="auto" w:fill="F1F1F1"/>
              </w:rPr>
              <w:t>367 012 270 Kč (</w:t>
            </w:r>
            <w:r w:rsidR="00581CD3" w:rsidRPr="00581CD3">
              <w:rPr>
                <w:rFonts w:cs="Times New Roman"/>
                <w:bCs/>
                <w:color w:val="000000"/>
                <w:szCs w:val="20"/>
                <w:shd w:val="clear" w:color="auto" w:fill="F1F1F1"/>
              </w:rPr>
              <w:t>72 %)</w:t>
            </w:r>
          </w:p>
        </w:tc>
      </w:tr>
    </w:tbl>
    <w:p w:rsidR="007A43A7" w:rsidRPr="003A4E29" w:rsidRDefault="0071520F" w:rsidP="003A4E29">
      <w:pPr>
        <w:pStyle w:val="Nadpis4"/>
      </w:pPr>
      <w:r w:rsidRPr="003A4E29">
        <w:t>Krátký popis projektu</w:t>
      </w:r>
    </w:p>
    <w:p w:rsidR="007A43A7" w:rsidRPr="0071520F" w:rsidRDefault="007A43A7" w:rsidP="006F2E12">
      <w:pPr>
        <w:ind w:firstLine="708"/>
        <w:rPr>
          <w:shd w:val="clear" w:color="auto" w:fill="FFFFFF"/>
          <w:lang w:eastAsia="cs-CZ" w:bidi="ar-SA"/>
        </w:rPr>
      </w:pPr>
      <w:r w:rsidRPr="0071520F">
        <w:rPr>
          <w:shd w:val="clear" w:color="auto" w:fill="FFFFFF"/>
          <w:lang w:eastAsia="cs-CZ" w:bidi="ar-SA"/>
        </w:rPr>
        <w:t xml:space="preserve">Předmětem projektu bylo vybudování Aplikačních a vývojových laboratoří </w:t>
      </w:r>
      <w:proofErr w:type="spellStart"/>
      <w:r w:rsidRPr="0071520F">
        <w:rPr>
          <w:shd w:val="clear" w:color="auto" w:fill="FFFFFF"/>
          <w:lang w:eastAsia="cs-CZ" w:bidi="ar-SA"/>
        </w:rPr>
        <w:t>mikr</w:t>
      </w:r>
      <w:r w:rsidR="003A4E29">
        <w:rPr>
          <w:shd w:val="clear" w:color="auto" w:fill="FFFFFF"/>
          <w:lang w:eastAsia="cs-CZ" w:bidi="ar-SA"/>
        </w:rPr>
        <w:t>o</w:t>
      </w:r>
      <w:proofErr w:type="spellEnd"/>
      <w:r w:rsidR="003A4E29">
        <w:rPr>
          <w:shd w:val="clear" w:color="auto" w:fill="FFFFFF"/>
          <w:lang w:eastAsia="cs-CZ" w:bidi="ar-SA"/>
        </w:rPr>
        <w:t>/</w:t>
      </w:r>
      <w:proofErr w:type="spellStart"/>
      <w:r w:rsidR="003A4E29">
        <w:rPr>
          <w:shd w:val="clear" w:color="auto" w:fill="FFFFFF"/>
          <w:lang w:eastAsia="cs-CZ" w:bidi="ar-SA"/>
        </w:rPr>
        <w:t>nano</w:t>
      </w:r>
      <w:proofErr w:type="spellEnd"/>
      <w:r w:rsidR="003A4E29">
        <w:rPr>
          <w:shd w:val="clear" w:color="auto" w:fill="FFFFFF"/>
          <w:lang w:eastAsia="cs-CZ" w:bidi="ar-SA"/>
        </w:rPr>
        <w:t>-technologií a jejich organizační</w:t>
      </w:r>
      <w:r w:rsidRPr="0071520F">
        <w:rPr>
          <w:shd w:val="clear" w:color="auto" w:fill="FFFFFF"/>
          <w:lang w:eastAsia="cs-CZ" w:bidi="ar-SA"/>
        </w:rPr>
        <w:t xml:space="preserve"> začleněn</w:t>
      </w:r>
      <w:r w:rsidR="003A4E29">
        <w:rPr>
          <w:shd w:val="clear" w:color="auto" w:fill="FFFFFF"/>
          <w:lang w:eastAsia="cs-CZ" w:bidi="ar-SA"/>
        </w:rPr>
        <w:t>í</w:t>
      </w:r>
      <w:r w:rsidRPr="0071520F">
        <w:rPr>
          <w:shd w:val="clear" w:color="auto" w:fill="FFFFFF"/>
          <w:lang w:eastAsia="cs-CZ" w:bidi="ar-SA"/>
        </w:rPr>
        <w:t xml:space="preserve"> jako nové oddělení Ústavu přístrojové techniky AV ČR. Realizace spočívala v rekonstrukci stávajících</w:t>
      </w:r>
      <w:r w:rsidR="006F2E12">
        <w:rPr>
          <w:shd w:val="clear" w:color="auto" w:fill="FFFFFF"/>
          <w:lang w:eastAsia="cs-CZ" w:bidi="ar-SA"/>
        </w:rPr>
        <w:t xml:space="preserve"> </w:t>
      </w:r>
      <w:r w:rsidRPr="0071520F">
        <w:rPr>
          <w:shd w:val="clear" w:color="auto" w:fill="FFFFFF"/>
          <w:lang w:eastAsia="cs-CZ" w:bidi="ar-SA"/>
        </w:rPr>
        <w:t xml:space="preserve">a výstavbě nových užitných ploch a </w:t>
      </w:r>
      <w:r w:rsidR="006F2E12">
        <w:rPr>
          <w:shd w:val="clear" w:color="auto" w:fill="FFFFFF"/>
          <w:lang w:eastAsia="cs-CZ" w:bidi="ar-SA"/>
        </w:rPr>
        <w:t xml:space="preserve">jejich </w:t>
      </w:r>
      <w:r w:rsidRPr="0071520F">
        <w:rPr>
          <w:shd w:val="clear" w:color="auto" w:fill="FFFFFF"/>
          <w:lang w:eastAsia="cs-CZ" w:bidi="ar-SA"/>
        </w:rPr>
        <w:t xml:space="preserve">vybavení </w:t>
      </w:r>
      <w:r w:rsidR="006F2E12">
        <w:rPr>
          <w:shd w:val="clear" w:color="auto" w:fill="FFFFFF"/>
          <w:lang w:eastAsia="cs-CZ" w:bidi="ar-SA"/>
        </w:rPr>
        <w:t>p</w:t>
      </w:r>
      <w:r w:rsidRPr="0071520F">
        <w:rPr>
          <w:shd w:val="clear" w:color="auto" w:fill="FFFFFF"/>
          <w:lang w:eastAsia="cs-CZ" w:bidi="ar-SA"/>
        </w:rPr>
        <w:t>řístrojovým vybavením.</w:t>
      </w:r>
      <w:r w:rsidRPr="0071520F">
        <w:rPr>
          <w:lang w:eastAsia="cs-CZ" w:bidi="ar-SA"/>
        </w:rPr>
        <w:t xml:space="preserve"> </w:t>
      </w:r>
      <w:r w:rsidRPr="0071520F">
        <w:rPr>
          <w:shd w:val="clear" w:color="auto" w:fill="FFFFFF"/>
          <w:lang w:eastAsia="cs-CZ" w:bidi="ar-SA"/>
        </w:rPr>
        <w:t xml:space="preserve">Nové laboratoře jsou zaměřeny </w:t>
      </w:r>
      <w:r w:rsidR="006F2E12">
        <w:rPr>
          <w:shd w:val="clear" w:color="auto" w:fill="FFFFFF"/>
          <w:lang w:eastAsia="cs-CZ" w:bidi="ar-SA"/>
        </w:rPr>
        <w:t xml:space="preserve">na diagnostiku a technologie </w:t>
      </w:r>
      <w:r w:rsidRPr="0071520F">
        <w:rPr>
          <w:shd w:val="clear" w:color="auto" w:fill="FFFFFF"/>
          <w:lang w:eastAsia="cs-CZ" w:bidi="ar-SA"/>
        </w:rPr>
        <w:t>využívají</w:t>
      </w:r>
      <w:r w:rsidR="006F2E12">
        <w:rPr>
          <w:shd w:val="clear" w:color="auto" w:fill="FFFFFF"/>
          <w:lang w:eastAsia="cs-CZ" w:bidi="ar-SA"/>
        </w:rPr>
        <w:t xml:space="preserve">cí metody </w:t>
      </w:r>
      <w:r w:rsidRPr="0071520F">
        <w:rPr>
          <w:shd w:val="clear" w:color="auto" w:fill="FFFFFF"/>
          <w:lang w:eastAsia="cs-CZ" w:bidi="ar-SA"/>
        </w:rPr>
        <w:t>elektronové mikroskopie a litografie, magnetické rezonance, laserové interferometrie, svařování elektronovým a laserovým paprskem, magnetronového naprašování, kryogeniky a konstrukce nových vědeckých přístrojů.</w:t>
      </w:r>
      <w:r w:rsidRPr="0071520F">
        <w:rPr>
          <w:lang w:eastAsia="cs-CZ" w:bidi="ar-SA"/>
        </w:rPr>
        <w:t xml:space="preserve"> </w:t>
      </w:r>
      <w:r w:rsidRPr="0071520F">
        <w:rPr>
          <w:shd w:val="clear" w:color="auto" w:fill="FFFFFF"/>
          <w:lang w:eastAsia="cs-CZ" w:bidi="ar-SA"/>
        </w:rPr>
        <w:t>Cílovými skupinami projektu jsou uživatelé výsledků vědeckovýzkumných aktivit, studenti</w:t>
      </w:r>
      <w:r w:rsidR="006F2E12">
        <w:rPr>
          <w:shd w:val="clear" w:color="auto" w:fill="FFFFFF"/>
          <w:lang w:eastAsia="cs-CZ" w:bidi="ar-SA"/>
        </w:rPr>
        <w:t xml:space="preserve">, </w:t>
      </w:r>
      <w:r w:rsidRPr="0071520F">
        <w:rPr>
          <w:shd w:val="clear" w:color="auto" w:fill="FFFFFF"/>
          <w:lang w:eastAsia="cs-CZ" w:bidi="ar-SA"/>
        </w:rPr>
        <w:t xml:space="preserve">mladí výzkumní pracovníci a nepřímo obyvatelé </w:t>
      </w:r>
      <w:r w:rsidR="006F2E12">
        <w:rPr>
          <w:shd w:val="clear" w:color="auto" w:fill="FFFFFF"/>
          <w:lang w:eastAsia="cs-CZ" w:bidi="ar-SA"/>
        </w:rPr>
        <w:t>i</w:t>
      </w:r>
      <w:r w:rsidRPr="0071520F">
        <w:rPr>
          <w:shd w:val="clear" w:color="auto" w:fill="FFFFFF"/>
          <w:lang w:eastAsia="cs-CZ" w:bidi="ar-SA"/>
        </w:rPr>
        <w:t xml:space="preserve"> podnikatelé </w:t>
      </w:r>
      <w:r w:rsidR="00D56EF6">
        <w:rPr>
          <w:shd w:val="clear" w:color="auto" w:fill="FFFFFF"/>
          <w:lang w:eastAsia="cs-CZ" w:bidi="ar-SA"/>
        </w:rPr>
        <w:t>dotčeného</w:t>
      </w:r>
      <w:r w:rsidRPr="0071520F">
        <w:rPr>
          <w:shd w:val="clear" w:color="auto" w:fill="FFFFFF"/>
          <w:lang w:eastAsia="cs-CZ" w:bidi="ar-SA"/>
        </w:rPr>
        <w:t xml:space="preserve"> regionu.</w:t>
      </w:r>
    </w:p>
    <w:p w:rsidR="007A43A7" w:rsidRPr="003A4E29" w:rsidRDefault="007A43A7" w:rsidP="003A4E29">
      <w:pPr>
        <w:pStyle w:val="Nadpis4"/>
        <w:rPr>
          <w:shd w:val="clear" w:color="auto" w:fill="FFFFFF"/>
        </w:rPr>
      </w:pPr>
      <w:r w:rsidRPr="003A4E29">
        <w:t>Rozpočet</w:t>
      </w:r>
    </w:p>
    <w:p w:rsidR="006F2E12" w:rsidRPr="006F2E12" w:rsidRDefault="007A43A7" w:rsidP="00D56EF6">
      <w:pPr>
        <w:ind w:firstLine="708"/>
        <w:rPr>
          <w:rFonts w:eastAsia="Times New Roman"/>
          <w:lang w:eastAsia="cs-CZ" w:bidi="ar-SA"/>
        </w:rPr>
      </w:pPr>
      <w:r w:rsidRPr="0071520F">
        <w:rPr>
          <w:rFonts w:eastAsiaTheme="majorEastAsia"/>
          <w:shd w:val="clear" w:color="auto" w:fill="FFFFFF"/>
          <w:lang w:eastAsia="cs-CZ" w:bidi="ar-SA"/>
        </w:rPr>
        <w:t>Projekt</w:t>
      </w:r>
      <w:r w:rsidR="006F2E12">
        <w:rPr>
          <w:rFonts w:eastAsiaTheme="majorEastAsia"/>
          <w:shd w:val="clear" w:color="auto" w:fill="FFFFFF"/>
          <w:lang w:eastAsia="cs-CZ" w:bidi="ar-SA"/>
        </w:rPr>
        <w:t xml:space="preserve"> j</w:t>
      </w:r>
      <w:r w:rsidRPr="0071520F">
        <w:rPr>
          <w:rFonts w:eastAsiaTheme="majorEastAsia"/>
          <w:shd w:val="clear" w:color="auto" w:fill="FFFFFF"/>
          <w:lang w:eastAsia="cs-CZ" w:bidi="ar-SA"/>
        </w:rPr>
        <w:t>e spolufinancovaný v rámci Operačního programu Výzkum a vývoj pro inovace z prostředků Evropského fondu pro regionální rozvoj</w:t>
      </w:r>
      <w:r w:rsidRPr="0071520F">
        <w:rPr>
          <w:rFonts w:eastAsiaTheme="majorEastAsia"/>
          <w:b/>
          <w:shd w:val="clear" w:color="auto" w:fill="FFFFFF"/>
          <w:lang w:eastAsia="cs-CZ" w:bidi="ar-SA"/>
        </w:rPr>
        <w:t xml:space="preserve"> </w:t>
      </w:r>
      <w:r w:rsidR="006F2E12" w:rsidRPr="0071520F">
        <w:rPr>
          <w:rFonts w:eastAsiaTheme="majorEastAsia"/>
          <w:shd w:val="clear" w:color="auto" w:fill="FFFFFF"/>
          <w:lang w:eastAsia="cs-CZ" w:bidi="ar-SA"/>
        </w:rPr>
        <w:t>(85</w:t>
      </w:r>
      <w:r w:rsidR="00D56EF6">
        <w:rPr>
          <w:rFonts w:eastAsiaTheme="majorEastAsia"/>
          <w:shd w:val="clear" w:color="auto" w:fill="FFFFFF"/>
          <w:lang w:eastAsia="cs-CZ" w:bidi="ar-SA"/>
        </w:rPr>
        <w:t xml:space="preserve"> </w:t>
      </w:r>
      <w:r w:rsidR="006F2E12" w:rsidRPr="0071520F">
        <w:rPr>
          <w:rFonts w:eastAsiaTheme="majorEastAsia"/>
          <w:shd w:val="clear" w:color="auto" w:fill="FFFFFF"/>
          <w:lang w:eastAsia="cs-CZ" w:bidi="ar-SA"/>
        </w:rPr>
        <w:t>% rozpočtu projektu)</w:t>
      </w:r>
      <w:r w:rsidR="006F2E12">
        <w:rPr>
          <w:rFonts w:eastAsiaTheme="majorEastAsia"/>
          <w:shd w:val="clear" w:color="auto" w:fill="FFFFFF"/>
          <w:lang w:eastAsia="cs-CZ" w:bidi="ar-SA"/>
        </w:rPr>
        <w:t xml:space="preserve"> </w:t>
      </w:r>
      <w:r w:rsidRPr="0071520F">
        <w:rPr>
          <w:rFonts w:eastAsiaTheme="majorEastAsia"/>
          <w:shd w:val="clear" w:color="auto" w:fill="FFFFFF"/>
          <w:lang w:eastAsia="cs-CZ" w:bidi="ar-SA"/>
        </w:rPr>
        <w:t>a z prostředků státního rozpočtu</w:t>
      </w:r>
      <w:r w:rsidR="006F2E12">
        <w:rPr>
          <w:rFonts w:eastAsiaTheme="majorEastAsia"/>
          <w:shd w:val="clear" w:color="auto" w:fill="FFFFFF"/>
          <w:lang w:eastAsia="cs-CZ" w:bidi="ar-SA"/>
        </w:rPr>
        <w:t>.</w:t>
      </w:r>
      <w:r w:rsidR="00D56EF6">
        <w:rPr>
          <w:rFonts w:eastAsiaTheme="majorEastAsia"/>
          <w:shd w:val="clear" w:color="auto" w:fill="FFFFFF"/>
          <w:lang w:eastAsia="cs-CZ" w:bidi="ar-SA"/>
        </w:rPr>
        <w:t xml:space="preserve"> </w:t>
      </w:r>
      <w:r w:rsidRPr="0071520F">
        <w:rPr>
          <w:rFonts w:eastAsia="Times New Roman"/>
          <w:lang w:eastAsia="cs-CZ" w:bidi="ar-SA"/>
        </w:rPr>
        <w:t xml:space="preserve">Významnou část rozpočtu tvoří výdaje na samotnou výstavbu laboratoří pokročilých </w:t>
      </w:r>
      <w:proofErr w:type="spellStart"/>
      <w:r w:rsidRPr="0071520F">
        <w:rPr>
          <w:rFonts w:eastAsia="Times New Roman"/>
          <w:lang w:eastAsia="cs-CZ" w:bidi="ar-SA"/>
        </w:rPr>
        <w:t>mikro</w:t>
      </w:r>
      <w:proofErr w:type="spellEnd"/>
      <w:r w:rsidR="006F2E12">
        <w:rPr>
          <w:rFonts w:eastAsia="Times New Roman"/>
          <w:lang w:eastAsia="cs-CZ" w:bidi="ar-SA"/>
        </w:rPr>
        <w:t>/</w:t>
      </w:r>
      <w:proofErr w:type="spellStart"/>
      <w:r w:rsidRPr="0071520F">
        <w:rPr>
          <w:rFonts w:eastAsia="Times New Roman"/>
          <w:lang w:eastAsia="cs-CZ" w:bidi="ar-SA"/>
        </w:rPr>
        <w:t>nano</w:t>
      </w:r>
      <w:proofErr w:type="spellEnd"/>
      <w:r w:rsidR="006F2E12">
        <w:rPr>
          <w:rFonts w:eastAsia="Times New Roman"/>
          <w:lang w:eastAsia="cs-CZ" w:bidi="ar-SA"/>
        </w:rPr>
        <w:t>-</w:t>
      </w:r>
      <w:r w:rsidRPr="0071520F">
        <w:rPr>
          <w:rFonts w:eastAsia="Times New Roman"/>
          <w:lang w:eastAsia="cs-CZ" w:bidi="ar-SA"/>
        </w:rPr>
        <w:t>technolog</w:t>
      </w:r>
      <w:r w:rsidR="0071520F">
        <w:rPr>
          <w:rFonts w:eastAsia="Times New Roman"/>
          <w:lang w:eastAsia="cs-CZ" w:bidi="ar-SA"/>
        </w:rPr>
        <w:t>i</w:t>
      </w:r>
      <w:r w:rsidRPr="0071520F">
        <w:rPr>
          <w:rFonts w:eastAsia="Times New Roman"/>
          <w:lang w:eastAsia="cs-CZ" w:bidi="ar-SA"/>
        </w:rPr>
        <w:t>í v předpokládané výši 109 mil. Kč a jejich následné vybavení moderními laboratorními přístroji a související technikou v pořizovací ceně 250 mil. Kč. Ostatní prostředky budou využity na financování aktivit souvisejících s realizací projektu a zahájení výzkumných aktivit. Provoz bude</w:t>
      </w:r>
      <w:r w:rsidR="006F2E12">
        <w:rPr>
          <w:rFonts w:eastAsia="Times New Roman"/>
          <w:lang w:eastAsia="cs-CZ" w:bidi="ar-SA"/>
        </w:rPr>
        <w:t xml:space="preserve"> probíhat</w:t>
      </w:r>
      <w:r w:rsidRPr="0071520F">
        <w:rPr>
          <w:rFonts w:eastAsia="Times New Roman"/>
          <w:lang w:eastAsia="cs-CZ" w:bidi="ar-SA"/>
        </w:rPr>
        <w:t xml:space="preserve"> již v průběhu realizace a zejména po ukončení projektu z významné části financován z příjmů ze smluvního a kolaborativního výzkumu. Rozpočet </w:t>
      </w:r>
      <w:r w:rsidR="006F2E12">
        <w:rPr>
          <w:rFonts w:eastAsia="Times New Roman"/>
          <w:lang w:eastAsia="cs-CZ" w:bidi="ar-SA"/>
        </w:rPr>
        <w:t xml:space="preserve">MB by </w:t>
      </w:r>
      <w:r w:rsidRPr="0071520F">
        <w:rPr>
          <w:rFonts w:eastAsia="Times New Roman"/>
          <w:lang w:eastAsia="cs-CZ" w:bidi="ar-SA"/>
        </w:rPr>
        <w:t>tedy měl</w:t>
      </w:r>
      <w:r w:rsidR="006F2E12">
        <w:rPr>
          <w:rFonts w:eastAsia="Times New Roman"/>
          <w:lang w:eastAsia="cs-CZ" w:bidi="ar-SA"/>
        </w:rPr>
        <w:t xml:space="preserve"> být ovlivněn</w:t>
      </w:r>
      <w:r w:rsidRPr="0071520F">
        <w:rPr>
          <w:rFonts w:eastAsia="Times New Roman"/>
          <w:lang w:eastAsia="cs-CZ" w:bidi="ar-SA"/>
        </w:rPr>
        <w:t xml:space="preserve"> pouze minimálně.</w:t>
      </w:r>
    </w:p>
    <w:p w:rsidR="007A43A7" w:rsidRDefault="007A43A7" w:rsidP="00E65CC7">
      <w:pPr>
        <w:pStyle w:val="Nadpis2"/>
        <w:numPr>
          <w:ilvl w:val="1"/>
          <w:numId w:val="5"/>
        </w:numPr>
      </w:pPr>
      <w:bookmarkStart w:id="45" w:name="_Toc407101603"/>
      <w:bookmarkStart w:id="46" w:name="_Toc410160025"/>
      <w:r w:rsidRPr="0071520F">
        <w:lastRenderedPageBreak/>
        <w:t>NETME Centre (Nové technologie pro strojírenství)</w:t>
      </w:r>
      <w:bookmarkEnd w:id="45"/>
      <w:bookmarkEnd w:id="46"/>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CZ.1.05/2.1.00/01.0002</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04035E" w:rsidP="007A43A7">
            <w:pPr>
              <w:rPr>
                <w:b/>
              </w:rPr>
            </w:pPr>
            <w:r w:rsidRPr="0071520F">
              <w:rPr>
                <w:b/>
              </w:rPr>
              <w:t>PRIORITA</w:t>
            </w:r>
            <w:r>
              <w:rPr>
                <w:b/>
              </w:rPr>
              <w:t xml:space="preserve"> / </w:t>
            </w:r>
            <w:r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Regionální VaV centra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Realizace projektu ukončena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rPr>
              <w:t>1. 1. 2010</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rPr>
              <w:t>31. 12. 2013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Vysoké učení technické v Brně</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897 681 737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581CD3" w:rsidRDefault="00581CD3" w:rsidP="007A43A7">
            <w:pPr>
              <w:rPr>
                <w:rFonts w:cs="Times New Roman"/>
              </w:rPr>
            </w:pPr>
            <w:r w:rsidRPr="00581CD3">
              <w:rPr>
                <w:rFonts w:cs="Times New Roman"/>
                <w:bCs/>
                <w:color w:val="000000"/>
                <w:szCs w:val="20"/>
                <w:shd w:val="clear" w:color="auto" w:fill="F1F1F1"/>
              </w:rPr>
              <w:t>649 260 921 Kč (72 %)</w:t>
            </w:r>
          </w:p>
        </w:tc>
      </w:tr>
    </w:tbl>
    <w:p w:rsidR="007A43A7" w:rsidRPr="006F2E12" w:rsidRDefault="007A43A7" w:rsidP="006F2E12">
      <w:pPr>
        <w:pStyle w:val="Nadpis4"/>
      </w:pPr>
      <w:r w:rsidRPr="006F2E12">
        <w:t>Krátký popis projektu</w:t>
      </w:r>
    </w:p>
    <w:p w:rsidR="007A43A7" w:rsidRPr="0071520F" w:rsidRDefault="007A43A7" w:rsidP="0071520F">
      <w:pPr>
        <w:ind w:firstLine="708"/>
        <w:rPr>
          <w:shd w:val="clear" w:color="auto" w:fill="FFFFFF"/>
          <w:lang w:eastAsia="cs-CZ" w:bidi="ar-SA"/>
        </w:rPr>
      </w:pPr>
      <w:r w:rsidRPr="0071520F">
        <w:rPr>
          <w:lang w:eastAsia="cs-CZ" w:bidi="ar-SA"/>
        </w:rPr>
        <w:t>Projekt NETME Centre</w:t>
      </w:r>
      <w:r w:rsidRPr="0071520F">
        <w:rPr>
          <w:shd w:val="clear" w:color="auto" w:fill="FFFFFF"/>
          <w:lang w:eastAsia="cs-CZ" w:bidi="ar-SA"/>
        </w:rPr>
        <w:t xml:space="preserve"> je koncipován jako regionální výzkumné a vývojové centrum, založené na kvalitní vědecké a výzkumné základně Fakulty strojního inženýrství Vysokého učení technického v Brně. Cílem je rozvinout spolupráci s aplikační sférou a posílit tak konkurenceschopnost regionu, podílet se na rozvoji znalostní ekonomiky regionu a umožnit soukromým subjektům snadný přístup k nejnovějším výsledkům výzkumu na smluvní bázi a s cílem zajistit maximální aplikační potenciál. </w:t>
      </w:r>
      <w:r w:rsidRPr="0071520F">
        <w:rPr>
          <w:lang w:eastAsia="cs-CZ" w:bidi="ar-SA"/>
        </w:rPr>
        <w:t xml:space="preserve">Je využíván v oborech </w:t>
      </w:r>
      <w:r w:rsidRPr="0071520F">
        <w:rPr>
          <w:shd w:val="clear" w:color="auto" w:fill="FFFFFF"/>
          <w:lang w:eastAsia="cs-CZ" w:bidi="ar-SA"/>
        </w:rPr>
        <w:t>technologií strojního inženýrství a k němu doplňkových a stále důležitějších oborech.</w:t>
      </w:r>
      <w:r w:rsidRPr="0071520F">
        <w:rPr>
          <w:lang w:eastAsia="cs-CZ" w:bidi="ar-SA"/>
        </w:rPr>
        <w:t xml:space="preserve"> </w:t>
      </w:r>
      <w:r w:rsidRPr="0071520F">
        <w:rPr>
          <w:shd w:val="clear" w:color="auto" w:fill="FFFFFF"/>
          <w:lang w:eastAsia="cs-CZ" w:bidi="ar-SA"/>
        </w:rPr>
        <w:t>NETME Centre se sestává z 5 divizí, které věcně plní funkci centra prostřednictvím souvisejících výzkumných agend. Jedná se o divize: Energetiky, procesů a ekologie</w:t>
      </w:r>
      <w:r w:rsidRPr="0071520F">
        <w:rPr>
          <w:lang w:eastAsia="cs-CZ" w:bidi="ar-SA"/>
        </w:rPr>
        <w:t xml:space="preserve">, </w:t>
      </w:r>
      <w:r w:rsidRPr="0071520F">
        <w:rPr>
          <w:shd w:val="clear" w:color="auto" w:fill="FFFFFF"/>
          <w:lang w:eastAsia="cs-CZ" w:bidi="ar-SA"/>
        </w:rPr>
        <w:t>Mechatroniky</w:t>
      </w:r>
      <w:r w:rsidRPr="0071520F">
        <w:rPr>
          <w:lang w:eastAsia="cs-CZ" w:bidi="ar-SA"/>
        </w:rPr>
        <w:t xml:space="preserve">, </w:t>
      </w:r>
      <w:r w:rsidRPr="0071520F">
        <w:rPr>
          <w:shd w:val="clear" w:color="auto" w:fill="FFFFFF"/>
          <w:lang w:eastAsia="cs-CZ" w:bidi="ar-SA"/>
        </w:rPr>
        <w:t>Virtuálního navrhování a zkušebnictví</w:t>
      </w:r>
      <w:r w:rsidRPr="0071520F">
        <w:rPr>
          <w:lang w:eastAsia="cs-CZ" w:bidi="ar-SA"/>
        </w:rPr>
        <w:t xml:space="preserve">, </w:t>
      </w:r>
      <w:r w:rsidRPr="0071520F">
        <w:rPr>
          <w:shd w:val="clear" w:color="auto" w:fill="FFFFFF"/>
          <w:lang w:eastAsia="cs-CZ" w:bidi="ar-SA"/>
        </w:rPr>
        <w:t>Letecké a automobilní techniky</w:t>
      </w:r>
      <w:r w:rsidRPr="0071520F">
        <w:rPr>
          <w:lang w:eastAsia="cs-CZ" w:bidi="ar-SA"/>
        </w:rPr>
        <w:t xml:space="preserve"> </w:t>
      </w:r>
      <w:r w:rsidRPr="0071520F">
        <w:rPr>
          <w:shd w:val="clear" w:color="auto" w:fill="FFFFFF"/>
          <w:lang w:eastAsia="cs-CZ" w:bidi="ar-SA"/>
        </w:rPr>
        <w:t>Progresivních kovových materiálů.</w:t>
      </w:r>
    </w:p>
    <w:p w:rsidR="007A43A7" w:rsidRPr="006F2E12" w:rsidRDefault="0071520F" w:rsidP="006F2E12">
      <w:pPr>
        <w:pStyle w:val="Nadpis4"/>
      </w:pPr>
      <w:r w:rsidRPr="006F2E12">
        <w:t>Rozpočet</w:t>
      </w:r>
    </w:p>
    <w:p w:rsidR="006F2E12" w:rsidRPr="006F2E12" w:rsidRDefault="007A43A7" w:rsidP="006F2E12">
      <w:pPr>
        <w:spacing w:after="200"/>
        <w:ind w:firstLine="708"/>
        <w:rPr>
          <w:shd w:val="clear" w:color="auto" w:fill="FFFFFF"/>
          <w:lang w:eastAsia="cs-CZ" w:bidi="ar-SA"/>
        </w:rPr>
      </w:pPr>
      <w:r w:rsidRPr="0071520F">
        <w:rPr>
          <w:shd w:val="clear" w:color="auto" w:fill="FFFFFF"/>
          <w:lang w:eastAsia="cs-CZ" w:bidi="ar-SA"/>
        </w:rPr>
        <w:t>Projekt byl v období 2010 - 2013 financován z fondů Evropské unie a Ministerstva školství, mládeže a tělovýchovy, z prostředků OP Věda a výzkum pro inovace, Prioritní osa 2 - Regionální VaV centra ve výši dotace 897 mil. Kč (podíl EU 85 % a státní rozpočet 15 %). MŠMT financovalo projekt v rámci programu LO – Národní program udržitelnosti.  Co se týče nákladů města Brna, i u tohoto projektu by pravděpodobně měly být náklady minimální. Řada plánovaných projektů NETME Centra je realizována ve spolupráci s českými i zahraničními firmami, které již dlouhodobě s příslušnými divizemi či sekcemi spolupracují, či o spolupráci projevily zájem. Na základě této spolupráce lze tedy konstatovat, že investice těchto firem napomůžou k pokrytí nákladů projektu v provozní fázi.</w:t>
      </w:r>
    </w:p>
    <w:p w:rsidR="007A43A7" w:rsidRPr="0071520F" w:rsidRDefault="007A43A7" w:rsidP="00E65CC7">
      <w:pPr>
        <w:pStyle w:val="Nadpis2"/>
        <w:numPr>
          <w:ilvl w:val="1"/>
          <w:numId w:val="5"/>
        </w:numPr>
        <w:rPr>
          <w:lang w:eastAsia="cs-CZ" w:bidi="ar-SA"/>
        </w:rPr>
      </w:pPr>
      <w:bookmarkStart w:id="47" w:name="_Toc407101604"/>
      <w:bookmarkStart w:id="48" w:name="_Toc410160026"/>
      <w:r w:rsidRPr="0071520F">
        <w:rPr>
          <w:lang w:eastAsia="cs-CZ" w:bidi="ar-SA"/>
        </w:rPr>
        <w:lastRenderedPageBreak/>
        <w:t>Výukové a výzkumné kapacity pro biotechnologické obory a rozšíření infrastruktury</w:t>
      </w:r>
      <w:bookmarkEnd w:id="47"/>
      <w:bookmarkEnd w:id="48"/>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CZ.1.05/4.1.00/04.0135</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r w:rsidR="0004035E">
              <w:rPr>
                <w:b/>
              </w:rPr>
              <w:t xml:space="preserve"> / </w:t>
            </w:r>
            <w:r w:rsidR="0004035E"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Infrastruktura pro výuku na vysokých školách spojenou s výzkumem</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Realizace projektu ukončena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1. 3. 2011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1520F" w:rsidP="007A43A7">
            <w:r w:rsidRPr="0071520F">
              <w:rPr>
                <w:bCs/>
              </w:rPr>
              <w:t>30. 06. 2013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Mendelova univerzita v Brně</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829 593 278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581CD3" w:rsidRDefault="00581CD3" w:rsidP="007A43A7">
            <w:pPr>
              <w:rPr>
                <w:rFonts w:cs="Times New Roman"/>
              </w:rPr>
            </w:pPr>
            <w:r w:rsidRPr="00581CD3">
              <w:rPr>
                <w:rFonts w:cs="Times New Roman"/>
                <w:bCs/>
                <w:color w:val="000000"/>
                <w:szCs w:val="20"/>
                <w:shd w:val="clear" w:color="auto" w:fill="F1F1F1"/>
              </w:rPr>
              <w:t>526 397 894 Kč (63 %)</w:t>
            </w:r>
          </w:p>
        </w:tc>
      </w:tr>
    </w:tbl>
    <w:p w:rsidR="007A43A7" w:rsidRPr="006F2E12" w:rsidRDefault="0071520F" w:rsidP="006F2E12">
      <w:pPr>
        <w:pStyle w:val="Nadpis4"/>
      </w:pPr>
      <w:r w:rsidRPr="006F2E12">
        <w:t>Krátký popis projektu</w:t>
      </w:r>
    </w:p>
    <w:p w:rsidR="007A43A7" w:rsidRPr="0071520F" w:rsidRDefault="007A43A7" w:rsidP="0071520F">
      <w:pPr>
        <w:ind w:firstLine="708"/>
        <w:rPr>
          <w:shd w:val="clear" w:color="auto" w:fill="FFFFFF"/>
          <w:lang w:eastAsia="cs-CZ" w:bidi="ar-SA"/>
        </w:rPr>
      </w:pPr>
      <w:r w:rsidRPr="0071520F">
        <w:rPr>
          <w:shd w:val="clear" w:color="auto" w:fill="FFFFFF"/>
          <w:lang w:eastAsia="cs-CZ" w:bidi="ar-SA"/>
        </w:rPr>
        <w:t>Projekt sestává z výstavby dvou zcela nových moderních vícepodlažních budov (pavilony M a X), které nahrazují některé stávající prostory Mendelovy univerzity nezpůsobilé pro výuku i výzkum a rozšíří další kapacitně nevyhovující prostory MENDELU. Nové pavilony jsou lokalizovány v univerzitním areálu v Brně - Černých Polích.</w:t>
      </w:r>
      <w:r w:rsidRPr="0071520F">
        <w:rPr>
          <w:lang w:eastAsia="cs-CZ" w:bidi="ar-SA"/>
        </w:rPr>
        <w:t> </w:t>
      </w:r>
      <w:r w:rsidRPr="0071520F">
        <w:rPr>
          <w:shd w:val="clear" w:color="auto" w:fill="FFFFFF"/>
          <w:lang w:eastAsia="cs-CZ" w:bidi="ar-SA"/>
        </w:rPr>
        <w:t xml:space="preserve">Objekt M </w:t>
      </w:r>
      <w:r w:rsidR="00D56EF6">
        <w:rPr>
          <w:shd w:val="clear" w:color="auto" w:fill="FFFFFF"/>
          <w:lang w:eastAsia="cs-CZ" w:bidi="ar-SA"/>
        </w:rPr>
        <w:t>je určen</w:t>
      </w:r>
      <w:r w:rsidRPr="0071520F">
        <w:rPr>
          <w:shd w:val="clear" w:color="auto" w:fill="FFFFFF"/>
          <w:lang w:eastAsia="cs-CZ" w:bidi="ar-SA"/>
        </w:rPr>
        <w:t xml:space="preserve"> pro účely výuky</w:t>
      </w:r>
      <w:r w:rsidR="00D56EF6">
        <w:rPr>
          <w:shd w:val="clear" w:color="auto" w:fill="FFFFFF"/>
          <w:lang w:eastAsia="cs-CZ" w:bidi="ar-SA"/>
        </w:rPr>
        <w:t>,</w:t>
      </w:r>
      <w:r w:rsidRPr="0071520F">
        <w:rPr>
          <w:shd w:val="clear" w:color="auto" w:fill="FFFFFF"/>
          <w:lang w:eastAsia="cs-CZ" w:bidi="ar-SA"/>
        </w:rPr>
        <w:t xml:space="preserve"> administrativy,</w:t>
      </w:r>
      <w:r w:rsidR="00D56EF6">
        <w:rPr>
          <w:shd w:val="clear" w:color="auto" w:fill="FFFFFF"/>
          <w:lang w:eastAsia="cs-CZ" w:bidi="ar-SA"/>
        </w:rPr>
        <w:t xml:space="preserve"> či</w:t>
      </w:r>
      <w:r w:rsidRPr="0071520F">
        <w:rPr>
          <w:shd w:val="clear" w:color="auto" w:fill="FFFFFF"/>
          <w:lang w:eastAsia="cs-CZ" w:bidi="ar-SA"/>
        </w:rPr>
        <w:t xml:space="preserve"> jako technické zázemí. Pavilon X řeší problém citelného nedostatku učeben o kapacitě 30 - 50 míst, dále potřebu studovny, prostor pro univerzitní datové centrum a jeho technické zázemí a v neposlední řadě též potřebu výstavby kapacitně dostačujícího stravovacího zařízení pro studenty i personál celého areálu.</w:t>
      </w:r>
    </w:p>
    <w:p w:rsidR="007A43A7" w:rsidRPr="006F2E12" w:rsidRDefault="0071520F" w:rsidP="006F2E12">
      <w:pPr>
        <w:pStyle w:val="Nadpis4"/>
      </w:pPr>
      <w:r w:rsidRPr="006F2E12">
        <w:t>Rozpočet</w:t>
      </w:r>
    </w:p>
    <w:p w:rsidR="007A43A7" w:rsidRPr="0071520F" w:rsidRDefault="007A43A7" w:rsidP="0071520F">
      <w:pPr>
        <w:spacing w:after="200"/>
        <w:ind w:firstLine="708"/>
        <w:rPr>
          <w:lang w:eastAsia="cs-CZ" w:bidi="ar-SA"/>
        </w:rPr>
      </w:pPr>
      <w:r w:rsidRPr="0071520F">
        <w:rPr>
          <w:lang w:eastAsia="cs-CZ" w:bidi="ar-SA"/>
        </w:rPr>
        <w:t xml:space="preserve">Tato zakázka je součástí projektu spolufinancovaného z Operačního programu Výzkum a vývoj pro inovace, Ministerstva školství, mládeže a tělovýchovy, číslo výzvy 1.4, prioritní osa 4, oblast 4.1 Infrastruktura pro výuku na vysokých školách spojená s výzkumem. Dotace z Evropského fondu pro regionální rozvoj činila 70 %, zbytek byl financován z národních veřejných zdrojů.  Lze konstatovat, že budoucí náklady projektu budou financovány ze zdrojů Ministerstva školství, mládeže a tělovýchovy, případně z různých dotačních programů Evropské unie, které podporují školství, vědu a výzkum a inovace. Náklady by tedy neměly nijak ovlivnit rozpočet města.  </w:t>
      </w:r>
    </w:p>
    <w:p w:rsidR="007A43A7" w:rsidRPr="0071520F" w:rsidRDefault="007A43A7" w:rsidP="00E65CC7">
      <w:pPr>
        <w:pStyle w:val="Nadpis2"/>
        <w:numPr>
          <w:ilvl w:val="1"/>
          <w:numId w:val="5"/>
        </w:numPr>
      </w:pPr>
      <w:bookmarkStart w:id="49" w:name="_Toc407101605"/>
      <w:bookmarkStart w:id="50" w:name="_Toc410160027"/>
      <w:r w:rsidRPr="0071520F">
        <w:lastRenderedPageBreak/>
        <w:t>Centrum experimentální, systematické a ekologické biologie</w:t>
      </w:r>
      <w:bookmarkEnd w:id="49"/>
      <w:bookmarkEnd w:id="50"/>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CZ.1.05/4.1.00/04.0149</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OP Výzkum a vývoj pro inovace</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r w:rsidR="0004035E">
              <w:rPr>
                <w:b/>
              </w:rPr>
              <w:t xml:space="preserve"> / </w:t>
            </w:r>
            <w:r w:rsidR="0004035E"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Infrastruktura pro výuku na vysokých školách spojenou s výzkumem</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1. 6. 2011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Masarykova univerzita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783 347 942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581CD3" w:rsidRDefault="00581CD3" w:rsidP="007A43A7">
            <w:pPr>
              <w:rPr>
                <w:rFonts w:cs="Times New Roman"/>
              </w:rPr>
            </w:pPr>
            <w:r w:rsidRPr="00581CD3">
              <w:rPr>
                <w:rFonts w:cs="Times New Roman"/>
                <w:bCs/>
                <w:color w:val="000000"/>
                <w:szCs w:val="20"/>
                <w:shd w:val="clear" w:color="auto" w:fill="F1F1F1"/>
              </w:rPr>
              <w:t>638 474 383 Kč (82 %)</w:t>
            </w:r>
          </w:p>
        </w:tc>
      </w:tr>
    </w:tbl>
    <w:p w:rsidR="007A43A7" w:rsidRPr="006F2E12" w:rsidRDefault="007A43A7" w:rsidP="006F2E12">
      <w:pPr>
        <w:pStyle w:val="Nadpis4"/>
      </w:pPr>
      <w:r w:rsidRPr="006F2E12">
        <w:t>Krátký popis projektu</w:t>
      </w:r>
    </w:p>
    <w:p w:rsidR="00581CD3" w:rsidRDefault="007A43A7" w:rsidP="006F2E12">
      <w:pPr>
        <w:ind w:firstLine="708"/>
      </w:pPr>
      <w:r w:rsidRPr="006F2E12">
        <w:t>Vzhledem k nevyhovujícímu stavu pracovišť a nedostačující infrastruktuře Př</w:t>
      </w:r>
      <w:r w:rsidR="006E2678" w:rsidRPr="006F2E12">
        <w:t>írodovědecké fakulty</w:t>
      </w:r>
      <w:r w:rsidRPr="006F2E12">
        <w:t xml:space="preserve"> </w:t>
      </w:r>
      <w:r w:rsidR="006E2678" w:rsidRPr="006F2E12">
        <w:t>Masarykovy univerzity</w:t>
      </w:r>
      <w:r w:rsidR="006F2E12">
        <w:t xml:space="preserve"> (</w:t>
      </w:r>
      <w:proofErr w:type="spellStart"/>
      <w:r w:rsidR="006F2E12">
        <w:t>PřF</w:t>
      </w:r>
      <w:proofErr w:type="spellEnd"/>
      <w:r w:rsidR="006F2E12">
        <w:t xml:space="preserve"> MU)</w:t>
      </w:r>
      <w:r w:rsidRPr="006F2E12">
        <w:t xml:space="preserve">, se v rámci projektu plánuje vybudování 4 nových pavilonů v areálu </w:t>
      </w:r>
      <w:r w:rsidR="006F2E12" w:rsidRPr="006F2E12">
        <w:t>Univerzitního kampusu</w:t>
      </w:r>
      <w:r w:rsidR="006F2E12">
        <w:t xml:space="preserve"> Brno (UKB)</w:t>
      </w:r>
      <w:r w:rsidRPr="006F2E12">
        <w:t>, z nichž dva budou sloužit výuce a vědecko-výzkumné práci v rámci systematicko-ekologických oborů a dva budou určeny pro experimentální biologické obory.</w:t>
      </w:r>
      <w:r w:rsidR="006F2E12" w:rsidRPr="006F2E12">
        <w:t xml:space="preserve"> </w:t>
      </w:r>
      <w:r w:rsidRPr="006F2E12">
        <w:t xml:space="preserve">Výsledkem projektu je vyřešení stávajícího nedostatku prostor, vyřešení nevyhovujícího technického a hygienického stavu pracovišť, dostavba </w:t>
      </w:r>
      <w:r w:rsidR="006F2E12">
        <w:t xml:space="preserve">a sjednocení infrastruktury UKB </w:t>
      </w:r>
      <w:r w:rsidRPr="006F2E12">
        <w:t>v souvislosti s realizací stavební části projektů CETOCOEN a CEITEC. Nová, moderní výuková a výzkumná infrastruktura jednoznačně přispěje ke kvalitě výuky a výzkumu</w:t>
      </w:r>
      <w:r w:rsidR="006E2678" w:rsidRPr="006F2E12">
        <w:t xml:space="preserve"> v rámci oboru b</w:t>
      </w:r>
      <w:r w:rsidRPr="006F2E12">
        <w:t>iologie</w:t>
      </w:r>
      <w:r w:rsidR="006E2678" w:rsidRPr="006F2E12">
        <w:t xml:space="preserve"> na </w:t>
      </w:r>
      <w:proofErr w:type="spellStart"/>
      <w:r w:rsidR="006F2E12">
        <w:t>PřF</w:t>
      </w:r>
      <w:proofErr w:type="spellEnd"/>
      <w:r w:rsidR="006F2E12">
        <w:t xml:space="preserve"> MU</w:t>
      </w:r>
      <w:r w:rsidR="006E2678" w:rsidRPr="006F2E12">
        <w:t>.</w:t>
      </w:r>
    </w:p>
    <w:p w:rsidR="00581CD3" w:rsidRDefault="00581CD3" w:rsidP="006F2E12">
      <w:pPr>
        <w:ind w:firstLine="708"/>
      </w:pPr>
    </w:p>
    <w:p w:rsidR="007A43A7" w:rsidRPr="0071520F" w:rsidRDefault="007A43A7" w:rsidP="006F2E12">
      <w:pPr>
        <w:ind w:firstLine="708"/>
        <w:rPr>
          <w:lang w:eastAsia="cs-CZ" w:bidi="ar-SA"/>
        </w:rPr>
      </w:pPr>
      <w:r w:rsidRPr="0071520F">
        <w:rPr>
          <w:lang w:eastAsia="cs-CZ" w:bidi="ar-SA"/>
        </w:rPr>
        <w:br/>
      </w:r>
      <w:r w:rsidRPr="006F2E12">
        <w:rPr>
          <w:rStyle w:val="Nadpis4Char"/>
        </w:rPr>
        <w:t>Rozpočet</w:t>
      </w:r>
    </w:p>
    <w:p w:rsidR="00E65CC7" w:rsidRDefault="007A43A7" w:rsidP="00D56EF6">
      <w:pPr>
        <w:shd w:val="clear" w:color="auto" w:fill="FFFFFF"/>
        <w:spacing w:after="200"/>
        <w:ind w:firstLine="708"/>
        <w:rPr>
          <w:rFonts w:asciiTheme="majorHAnsi" w:eastAsiaTheme="majorEastAsia" w:hAnsiTheme="majorHAnsi"/>
          <w:b/>
          <w:bCs/>
          <w:sz w:val="28"/>
          <w:szCs w:val="26"/>
          <w:lang w:eastAsia="cs-CZ" w:bidi="ar-SA"/>
        </w:rPr>
      </w:pPr>
      <w:r w:rsidRPr="0071520F">
        <w:rPr>
          <w:lang w:eastAsia="cs-CZ" w:bidi="ar-SA"/>
        </w:rPr>
        <w:t xml:space="preserve">Projekt CESEB je financován v rámci Operačního programu Výzkum a vývoj pro inovace, prioritní osa 5.4 Infrastruktura pro výuku na vysokých školách spojenou s výzkumem, výzva č. 1.4. Na financování se podílelo </w:t>
      </w:r>
      <w:r w:rsidRPr="0071520F">
        <w:rPr>
          <w:rFonts w:eastAsia="Times New Roman"/>
          <w:lang w:eastAsia="cs-CZ" w:bidi="ar-SA"/>
        </w:rPr>
        <w:t xml:space="preserve">Ministerstvo školství, mládeže a tělovýchovy a Evropský Fond pro regionální rozvoj. Řídící orgán OP </w:t>
      </w:r>
      <w:proofErr w:type="spellStart"/>
      <w:r w:rsidRPr="0071520F">
        <w:rPr>
          <w:rFonts w:eastAsia="Times New Roman"/>
          <w:lang w:eastAsia="cs-CZ" w:bidi="ar-SA"/>
        </w:rPr>
        <w:t>VaVpI</w:t>
      </w:r>
      <w:proofErr w:type="spellEnd"/>
      <w:r w:rsidRPr="0071520F">
        <w:rPr>
          <w:rFonts w:eastAsia="Times New Roman"/>
          <w:lang w:eastAsia="cs-CZ" w:bidi="ar-SA"/>
        </w:rPr>
        <w:t xml:space="preserve"> rozhodl o poskytnutí dotace na realizaci ve výši 638 mil. Kč. Příspěvek Masarykovy univerzity činil 112 mil. Kč. </w:t>
      </w:r>
      <w:r w:rsidR="00D40529">
        <w:rPr>
          <w:rFonts w:eastAsia="Times New Roman"/>
          <w:lang w:eastAsia="cs-CZ" w:bidi="ar-SA"/>
        </w:rPr>
        <w:t>L</w:t>
      </w:r>
      <w:r w:rsidRPr="0071520F">
        <w:rPr>
          <w:rFonts w:eastAsia="Times New Roman"/>
          <w:lang w:eastAsia="cs-CZ" w:bidi="ar-SA"/>
        </w:rPr>
        <w:t>ze</w:t>
      </w:r>
      <w:r w:rsidR="00D40529">
        <w:rPr>
          <w:rFonts w:eastAsia="Times New Roman"/>
          <w:lang w:eastAsia="cs-CZ" w:bidi="ar-SA"/>
        </w:rPr>
        <w:t xml:space="preserve"> odůvodněně</w:t>
      </w:r>
      <w:r w:rsidRPr="0071520F">
        <w:rPr>
          <w:rFonts w:eastAsia="Times New Roman"/>
          <w:lang w:eastAsia="cs-CZ" w:bidi="ar-SA"/>
        </w:rPr>
        <w:t xml:space="preserve"> předpokládat, že budoucí náklady budou pokryty z dotací podporující vzdělávání, vědu a výzkum, inovace a technologie a také z programů Ministerstva </w:t>
      </w:r>
      <w:r w:rsidR="00D40529">
        <w:rPr>
          <w:rFonts w:eastAsia="Times New Roman"/>
          <w:lang w:eastAsia="cs-CZ" w:bidi="ar-SA"/>
        </w:rPr>
        <w:t>školství, mládeže a tělovýchovy</w:t>
      </w:r>
      <w:r w:rsidRPr="0071520F">
        <w:rPr>
          <w:rFonts w:eastAsia="Times New Roman"/>
          <w:lang w:eastAsia="cs-CZ" w:bidi="ar-SA"/>
        </w:rPr>
        <w:t>.</w:t>
      </w:r>
    </w:p>
    <w:p w:rsidR="007A43A7" w:rsidRPr="0071520F" w:rsidRDefault="007A43A7" w:rsidP="00E65CC7">
      <w:pPr>
        <w:pStyle w:val="Nadpis2"/>
        <w:numPr>
          <w:ilvl w:val="1"/>
          <w:numId w:val="5"/>
        </w:numPr>
        <w:rPr>
          <w:lang w:eastAsia="cs-CZ" w:bidi="ar-SA"/>
        </w:rPr>
      </w:pPr>
      <w:bookmarkStart w:id="51" w:name="_Toc407101606"/>
      <w:bookmarkStart w:id="52" w:name="_Toc410160028"/>
      <w:r w:rsidRPr="0071520F">
        <w:rPr>
          <w:lang w:eastAsia="cs-CZ" w:bidi="ar-SA"/>
        </w:rPr>
        <w:lastRenderedPageBreak/>
        <w:t>Aktivity spojené s realizací a řízením ROP Jihovýchod v letech 2009-2015</w:t>
      </w:r>
      <w:bookmarkEnd w:id="51"/>
      <w:bookmarkEnd w:id="52"/>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CZ.1.11/4.1.00/04.00871</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ROP NUTS II Jihovýchod</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r w:rsidR="0004035E">
              <w:rPr>
                <w:b/>
              </w:rPr>
              <w:t xml:space="preserve"> / </w:t>
            </w:r>
            <w:r w:rsidR="0004035E"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Technická pomoc</w:t>
            </w:r>
            <w:r w:rsidR="0004035E">
              <w:rPr>
                <w:bCs/>
                <w:shd w:val="clear" w:color="auto" w:fill="F1F1F1"/>
              </w:rPr>
              <w:t xml:space="preserve"> / </w:t>
            </w:r>
            <w:r w:rsidR="0004035E" w:rsidRPr="0071520F">
              <w:rPr>
                <w:bCs/>
                <w:shd w:val="clear" w:color="auto" w:fill="F1F1F1"/>
              </w:rPr>
              <w:t>Aktivity spojené s realizací a řízením ROP</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Projekt v realizaci</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shd w:val="clear" w:color="auto" w:fill="F1F1F1"/>
              </w:rPr>
              <w:t>1. 1. 2009</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CA279A" w:rsidP="007A43A7">
            <w:r w:rsidRPr="0071520F">
              <w:rPr>
                <w:bCs/>
                <w:shd w:val="clear" w:color="auto" w:fill="F1F1F1"/>
              </w:rPr>
              <w:t>31. 12. 2015</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Regionální rada regionu soudržnosti Jihovýchod</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462 264 000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581CD3" w:rsidRDefault="00581CD3" w:rsidP="007A43A7">
            <w:pPr>
              <w:rPr>
                <w:rFonts w:cs="Times New Roman"/>
              </w:rPr>
            </w:pPr>
            <w:r w:rsidRPr="00581CD3">
              <w:rPr>
                <w:rFonts w:cs="Times New Roman"/>
                <w:bCs/>
                <w:color w:val="000000"/>
                <w:szCs w:val="20"/>
                <w:shd w:val="clear" w:color="auto" w:fill="F1F1F1"/>
              </w:rPr>
              <w:t>340 000 000 Kč (74 %)</w:t>
            </w:r>
          </w:p>
        </w:tc>
      </w:tr>
    </w:tbl>
    <w:p w:rsidR="007A43A7" w:rsidRPr="006F2E12" w:rsidRDefault="007A43A7" w:rsidP="006F2E12">
      <w:pPr>
        <w:pStyle w:val="Nadpis4"/>
      </w:pPr>
      <w:r w:rsidRPr="006F2E12">
        <w:t>Krátký popis projektu</w:t>
      </w:r>
    </w:p>
    <w:p w:rsidR="007A43A7" w:rsidRPr="0071520F" w:rsidRDefault="007A43A7" w:rsidP="00E65CC7">
      <w:pPr>
        <w:ind w:firstLine="708"/>
        <w:rPr>
          <w:rFonts w:eastAsia="Times New Roman"/>
          <w:lang w:eastAsia="cs-CZ" w:bidi="ar-SA"/>
        </w:rPr>
      </w:pPr>
      <w:r w:rsidRPr="0071520F">
        <w:rPr>
          <w:rFonts w:eastAsiaTheme="majorEastAsia"/>
          <w:shd w:val="clear" w:color="auto" w:fill="FFFFFF"/>
          <w:lang w:eastAsia="cs-CZ" w:bidi="ar-SA"/>
        </w:rPr>
        <w:t>Cílem projektu Aktivity spojené s realizací a řízením ROP Jihovýchod v letech 2009-2015 je zajistit odpovědnou a účinnou správu a implementaci ROP Jihovýchod, a to pro všechny relevantní aktéry procesu správy a implementace programu. V rámci projektu budou zajištěny především činnosti, jako je příprava, výběr a hodnocení pomoci a operací, monitorovací a kontrolní aktivity, aktivity spojené s pořízením, instalací a propojením počítačových systémů a veškeré další výdaje, které jsou nutné pro řádné fungování chodu organizace (provozní výdaje, hrubé mzdy pracovníků včetně odvodů, pořízení majetku, pořízení služeb atd.). V neposlední řadě jde také o výdaje na přípravu na programové období 2014-2020. Projekt je určen pro Řídící orgán ROP Jihovýchod, který je dle zákona 248/2000 Sb. je odpovědný za řízení a provádění operačního programu. V této oblasti podpory ROP Jihovýchod je Regionální rada jediným příjemcem podpory.</w:t>
      </w:r>
    </w:p>
    <w:p w:rsidR="007A43A7" w:rsidRPr="006F2E12" w:rsidRDefault="007A43A7" w:rsidP="006F2E12">
      <w:pPr>
        <w:pStyle w:val="Nadpis4"/>
      </w:pPr>
      <w:r w:rsidRPr="006F2E12">
        <w:t>Rozpočet</w:t>
      </w:r>
    </w:p>
    <w:p w:rsidR="00D40529" w:rsidRPr="00581CD3" w:rsidRDefault="007A43A7" w:rsidP="00581CD3">
      <w:pPr>
        <w:shd w:val="clear" w:color="auto" w:fill="FFFFFF"/>
        <w:ind w:firstLine="708"/>
        <w:rPr>
          <w:rFonts w:eastAsia="Times New Roman"/>
          <w:lang w:eastAsia="cs-CZ" w:bidi="ar-SA"/>
        </w:rPr>
      </w:pPr>
      <w:r w:rsidRPr="0071520F">
        <w:rPr>
          <w:rFonts w:eastAsia="Times New Roman"/>
          <w:lang w:eastAsia="cs-CZ" w:bidi="ar-SA"/>
        </w:rPr>
        <w:t xml:space="preserve">Projekt je financován v rámci ROP Jihovýchod. Poskytnutá dotace činí 85 % z celkového rozpočtu projektu. Zbytek je kofinancován z finančního rozpočtu regionální rady. Předpokládá se, že celý projekt by měly pokrýt příspěvky z EU a regionální rady, čili v budoucnu by měl tento projekt ovlivnit </w:t>
      </w:r>
      <w:r w:rsidR="00D40529">
        <w:rPr>
          <w:rFonts w:eastAsia="Times New Roman"/>
          <w:lang w:eastAsia="cs-CZ" w:bidi="ar-SA"/>
        </w:rPr>
        <w:t>rozpočet města pouze minimálně.</w:t>
      </w:r>
    </w:p>
    <w:p w:rsidR="007A43A7" w:rsidRPr="0071520F" w:rsidRDefault="007A43A7" w:rsidP="00E65CC7">
      <w:pPr>
        <w:pStyle w:val="Nadpis2"/>
        <w:numPr>
          <w:ilvl w:val="1"/>
          <w:numId w:val="5"/>
        </w:numPr>
        <w:rPr>
          <w:lang w:eastAsia="cs-CZ" w:bidi="ar-SA"/>
        </w:rPr>
      </w:pPr>
      <w:bookmarkStart w:id="53" w:name="_Toc407101607"/>
      <w:bookmarkStart w:id="54" w:name="_Toc410160029"/>
      <w:r w:rsidRPr="0071520F">
        <w:rPr>
          <w:lang w:eastAsia="cs-CZ" w:bidi="ar-SA"/>
        </w:rPr>
        <w:lastRenderedPageBreak/>
        <w:t>Obnova vozového parku drážních vozidel</w:t>
      </w:r>
      <w:bookmarkEnd w:id="53"/>
      <w:bookmarkEnd w:id="54"/>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ROP NUTS II Jihovýchod</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PRIORITA</w:t>
            </w:r>
            <w:r w:rsidR="0004035E">
              <w:rPr>
                <w:b/>
              </w:rPr>
              <w:t xml:space="preserve"> / </w:t>
            </w:r>
            <w:r w:rsidR="0004035E"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6E2678" w:rsidP="007A43A7">
            <w:r w:rsidRPr="006E2678">
              <w:t>Dostupnost dopravy</w:t>
            </w:r>
            <w:r w:rsidR="0004035E">
              <w:t xml:space="preserve"> / </w:t>
            </w:r>
            <w:r w:rsidR="0004035E" w:rsidRPr="006E2678">
              <w:t>Obnova vozového parku drážních vozidel hromadné přepravy osob</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Realizace projektu ukončena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6E2678" w:rsidP="007A43A7">
            <w:r w:rsidRPr="006E2678">
              <w:t>1. 11. 2008</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6E2678" w:rsidP="007A43A7">
            <w:r w:rsidRPr="006E2678">
              <w:t>31. 7. 2009</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04035E" w:rsidP="007A43A7">
            <w:r w:rsidRPr="0004035E">
              <w:rPr>
                <w:bCs/>
                <w:shd w:val="clear" w:color="auto" w:fill="F1F1F1"/>
              </w:rPr>
              <w:t>Dopravní podnik města Brna, a. s.</w:t>
            </w:r>
            <w:r>
              <w:rPr>
                <w:bCs/>
                <w:shd w:val="clear" w:color="auto" w:fill="F1F1F1"/>
              </w:rPr>
              <w:t xml:space="preserve"> (DPMB)</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581CD3">
            <w:r w:rsidRPr="0071520F">
              <w:t>538 740 000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r>
              <w:t>498 399 250 Kč (93 %)</w:t>
            </w:r>
          </w:p>
        </w:tc>
      </w:tr>
    </w:tbl>
    <w:p w:rsidR="007A43A7" w:rsidRPr="00D40529" w:rsidRDefault="007A43A7" w:rsidP="00D40529">
      <w:pPr>
        <w:pStyle w:val="Nadpis4"/>
        <w:rPr>
          <w:szCs w:val="24"/>
        </w:rPr>
      </w:pPr>
      <w:r w:rsidRPr="00D40529">
        <w:t>Krátký popis projektu</w:t>
      </w:r>
    </w:p>
    <w:p w:rsidR="007A43A7" w:rsidRPr="0071520F" w:rsidRDefault="007A43A7" w:rsidP="00D40529">
      <w:pPr>
        <w:ind w:firstLine="708"/>
        <w:rPr>
          <w:bCs/>
          <w:shd w:val="clear" w:color="auto" w:fill="FFFFFF"/>
          <w:lang w:eastAsia="cs-CZ" w:bidi="ar-SA"/>
        </w:rPr>
      </w:pPr>
      <w:r w:rsidRPr="0071520F">
        <w:rPr>
          <w:bCs/>
          <w:shd w:val="clear" w:color="auto" w:fill="FFFFFF"/>
          <w:lang w:eastAsia="cs-CZ" w:bidi="ar-SA"/>
        </w:rPr>
        <w:t>Cílem projektu byl nákup devíti nových vysokokapacitních nízkopodlažních tramvaji s cílem dosáhnout zkvalitnění tramvajové dopravy v Brně, zvýšit komfort v cestování městskou dopravou a rozšířit dostupnost cestovaní veřejnou dopravou osobám se sníženou schopnosti pohybu. Projekt výraznou měrou pomohl k obnově vozového parku tramvají, která samozřejmě bude dále pokračovat, a to jak formou nákupu nových tramvají, tak pokračováním v ekonomicky výhodných a provozně osvědčených rekonstrukcích a přestavbách starších vozidel.</w:t>
      </w:r>
    </w:p>
    <w:p w:rsidR="007A43A7" w:rsidRPr="00D40529" w:rsidRDefault="007A43A7" w:rsidP="00D40529">
      <w:pPr>
        <w:pStyle w:val="Nadpis4"/>
        <w:rPr>
          <w:szCs w:val="24"/>
          <w:shd w:val="clear" w:color="auto" w:fill="FFFFFF"/>
        </w:rPr>
      </w:pPr>
      <w:r w:rsidRPr="00D40529">
        <w:rPr>
          <w:shd w:val="clear" w:color="auto" w:fill="FFFFFF"/>
        </w:rPr>
        <w:t>Rozpočet</w:t>
      </w:r>
    </w:p>
    <w:p w:rsidR="00E65CC7" w:rsidRPr="00581CD3" w:rsidRDefault="007A43A7" w:rsidP="00581CD3">
      <w:pPr>
        <w:ind w:firstLine="708"/>
        <w:rPr>
          <w:bCs/>
          <w:shd w:val="clear" w:color="auto" w:fill="FFFFFF"/>
          <w:lang w:eastAsia="cs-CZ" w:bidi="ar-SA"/>
        </w:rPr>
      </w:pPr>
      <w:r w:rsidRPr="0071520F">
        <w:rPr>
          <w:lang w:eastAsia="cs-CZ" w:bidi="ar-SA"/>
        </w:rPr>
        <w:t>Projekt byl financován v rámci ROP Jihovýchod</w:t>
      </w:r>
      <w:r w:rsidR="0004035E">
        <w:rPr>
          <w:lang w:eastAsia="cs-CZ" w:bidi="ar-SA"/>
        </w:rPr>
        <w:t>, v</w:t>
      </w:r>
      <w:r w:rsidRPr="0071520F">
        <w:rPr>
          <w:lang w:eastAsia="cs-CZ" w:bidi="ar-SA"/>
        </w:rPr>
        <w:t xml:space="preserve">ýše poskytnuté dotace činila </w:t>
      </w:r>
      <w:r w:rsidRPr="0071520F">
        <w:rPr>
          <w:bCs/>
          <w:shd w:val="clear" w:color="auto" w:fill="FFFFFF"/>
          <w:lang w:eastAsia="cs-CZ" w:bidi="ar-SA"/>
        </w:rPr>
        <w:t>498 </w:t>
      </w:r>
      <w:r w:rsidR="00D40529">
        <w:rPr>
          <w:bCs/>
          <w:shd w:val="clear" w:color="auto" w:fill="FFFFFF"/>
          <w:lang w:eastAsia="cs-CZ" w:bidi="ar-SA"/>
        </w:rPr>
        <w:t>mil.</w:t>
      </w:r>
      <w:r w:rsidRPr="0071520F">
        <w:rPr>
          <w:bCs/>
          <w:shd w:val="clear" w:color="auto" w:fill="FFFFFF"/>
          <w:lang w:eastAsia="cs-CZ" w:bidi="ar-SA"/>
        </w:rPr>
        <w:t xml:space="preserve"> Kč</w:t>
      </w:r>
      <w:r w:rsidR="0004035E">
        <w:rPr>
          <w:bCs/>
          <w:shd w:val="clear" w:color="auto" w:fill="FFFFFF"/>
          <w:lang w:eastAsia="cs-CZ" w:bidi="ar-SA"/>
        </w:rPr>
        <w:t xml:space="preserve"> a z</w:t>
      </w:r>
      <w:r w:rsidRPr="0071520F">
        <w:rPr>
          <w:bCs/>
          <w:shd w:val="clear" w:color="auto" w:fill="FFFFFF"/>
          <w:lang w:eastAsia="cs-CZ" w:bidi="ar-SA"/>
        </w:rPr>
        <w:t>bytek nákladů</w:t>
      </w:r>
      <w:r w:rsidR="0004035E">
        <w:rPr>
          <w:bCs/>
          <w:shd w:val="clear" w:color="auto" w:fill="FFFFFF"/>
          <w:lang w:eastAsia="cs-CZ" w:bidi="ar-SA"/>
        </w:rPr>
        <w:t xml:space="preserve"> </w:t>
      </w:r>
      <w:r w:rsidRPr="0071520F">
        <w:rPr>
          <w:bCs/>
          <w:shd w:val="clear" w:color="auto" w:fill="FFFFFF"/>
          <w:lang w:eastAsia="cs-CZ" w:bidi="ar-SA"/>
        </w:rPr>
        <w:t xml:space="preserve">pokryly příspěvky DPMB. </w:t>
      </w:r>
      <w:r w:rsidR="00D40529">
        <w:rPr>
          <w:bCs/>
          <w:shd w:val="clear" w:color="auto" w:fill="FFFFFF"/>
          <w:lang w:eastAsia="cs-CZ" w:bidi="ar-SA"/>
        </w:rPr>
        <w:t>Vzhledem k tomu, že kolejová městská hromadná doprava je kapacitně i nákladově jedním z nejvýhodnějších způsobů veřejné hromadné přepravy obyvatel, lze k</w:t>
      </w:r>
      <w:r w:rsidRPr="0071520F">
        <w:rPr>
          <w:bCs/>
          <w:shd w:val="clear" w:color="auto" w:fill="FFFFFF"/>
          <w:lang w:eastAsia="cs-CZ" w:bidi="ar-SA"/>
        </w:rPr>
        <w:t>onstatovat, že projekt</w:t>
      </w:r>
      <w:r w:rsidR="00D40529">
        <w:rPr>
          <w:bCs/>
          <w:shd w:val="clear" w:color="auto" w:fill="FFFFFF"/>
          <w:lang w:eastAsia="cs-CZ" w:bidi="ar-SA"/>
        </w:rPr>
        <w:t xml:space="preserve"> nových nízkopodlažních tramvají</w:t>
      </w:r>
      <w:r w:rsidRPr="0071520F">
        <w:rPr>
          <w:bCs/>
          <w:shd w:val="clear" w:color="auto" w:fill="FFFFFF"/>
          <w:lang w:eastAsia="cs-CZ" w:bidi="ar-SA"/>
        </w:rPr>
        <w:t xml:space="preserve"> </w:t>
      </w:r>
      <w:r w:rsidR="00D40529">
        <w:rPr>
          <w:bCs/>
          <w:shd w:val="clear" w:color="auto" w:fill="FFFFFF"/>
          <w:lang w:eastAsia="cs-CZ" w:bidi="ar-SA"/>
        </w:rPr>
        <w:t>přinese ekonomičtější nakládání s</w:t>
      </w:r>
      <w:r w:rsidR="005E73E7">
        <w:rPr>
          <w:bCs/>
          <w:shd w:val="clear" w:color="auto" w:fill="FFFFFF"/>
          <w:lang w:eastAsia="cs-CZ" w:bidi="ar-SA"/>
        </w:rPr>
        <w:t> </w:t>
      </w:r>
      <w:r w:rsidR="00D40529">
        <w:rPr>
          <w:bCs/>
          <w:shd w:val="clear" w:color="auto" w:fill="FFFFFF"/>
          <w:lang w:eastAsia="cs-CZ" w:bidi="ar-SA"/>
        </w:rPr>
        <w:t>rozpočtem</w:t>
      </w:r>
      <w:r w:rsidR="005E73E7">
        <w:rPr>
          <w:bCs/>
          <w:shd w:val="clear" w:color="auto" w:fill="FFFFFF"/>
          <w:lang w:eastAsia="cs-CZ" w:bidi="ar-SA"/>
        </w:rPr>
        <w:t>. Dokonce je možné očekávat i potencionální přínos spojený</w:t>
      </w:r>
      <w:r w:rsidR="00D40529">
        <w:rPr>
          <w:bCs/>
          <w:shd w:val="clear" w:color="auto" w:fill="FFFFFF"/>
          <w:lang w:eastAsia="cs-CZ" w:bidi="ar-SA"/>
        </w:rPr>
        <w:t xml:space="preserve"> se zvýšeným používáním kvalitnější a modernější veřejné dopravy z pohledu obyvatel města i jeho okolí. </w:t>
      </w:r>
      <w:r w:rsidR="0004035E">
        <w:rPr>
          <w:bCs/>
          <w:shd w:val="clear" w:color="auto" w:fill="FFFFFF"/>
          <w:lang w:eastAsia="cs-CZ" w:bidi="ar-SA"/>
        </w:rPr>
        <w:t>M</w:t>
      </w:r>
      <w:r w:rsidRPr="0071520F">
        <w:rPr>
          <w:bCs/>
          <w:shd w:val="clear" w:color="auto" w:fill="FFFFFF"/>
          <w:lang w:eastAsia="cs-CZ" w:bidi="ar-SA"/>
        </w:rPr>
        <w:t>ěsto</w:t>
      </w:r>
      <w:r w:rsidR="00D40529">
        <w:rPr>
          <w:bCs/>
          <w:shd w:val="clear" w:color="auto" w:fill="FFFFFF"/>
          <w:lang w:eastAsia="cs-CZ" w:bidi="ar-SA"/>
        </w:rPr>
        <w:t xml:space="preserve"> Brno a</w:t>
      </w:r>
      <w:r w:rsidR="0004035E">
        <w:rPr>
          <w:bCs/>
          <w:shd w:val="clear" w:color="auto" w:fill="FFFFFF"/>
          <w:lang w:eastAsia="cs-CZ" w:bidi="ar-SA"/>
        </w:rPr>
        <w:t xml:space="preserve"> DPMB</w:t>
      </w:r>
      <w:r w:rsidR="00D40529">
        <w:rPr>
          <w:bCs/>
          <w:shd w:val="clear" w:color="auto" w:fill="FFFFFF"/>
          <w:lang w:eastAsia="cs-CZ" w:bidi="ar-SA"/>
        </w:rPr>
        <w:t xml:space="preserve"> </w:t>
      </w:r>
      <w:r w:rsidRPr="0071520F">
        <w:rPr>
          <w:bCs/>
          <w:shd w:val="clear" w:color="auto" w:fill="FFFFFF"/>
          <w:lang w:eastAsia="cs-CZ" w:bidi="ar-SA"/>
        </w:rPr>
        <w:t>bud</w:t>
      </w:r>
      <w:r w:rsidR="0004035E">
        <w:rPr>
          <w:bCs/>
          <w:shd w:val="clear" w:color="auto" w:fill="FFFFFF"/>
          <w:lang w:eastAsia="cs-CZ" w:bidi="ar-SA"/>
        </w:rPr>
        <w:t>ou</w:t>
      </w:r>
      <w:r w:rsidR="00D40529">
        <w:rPr>
          <w:bCs/>
          <w:shd w:val="clear" w:color="auto" w:fill="FFFFFF"/>
          <w:lang w:eastAsia="cs-CZ" w:bidi="ar-SA"/>
        </w:rPr>
        <w:t xml:space="preserve"> i nadále</w:t>
      </w:r>
      <w:r w:rsidRPr="0071520F">
        <w:rPr>
          <w:bCs/>
          <w:shd w:val="clear" w:color="auto" w:fill="FFFFFF"/>
          <w:lang w:eastAsia="cs-CZ" w:bidi="ar-SA"/>
        </w:rPr>
        <w:t xml:space="preserve"> financovat </w:t>
      </w:r>
      <w:r w:rsidR="0004035E">
        <w:rPr>
          <w:bCs/>
          <w:shd w:val="clear" w:color="auto" w:fill="FFFFFF"/>
          <w:lang w:eastAsia="cs-CZ" w:bidi="ar-SA"/>
        </w:rPr>
        <w:t xml:space="preserve">náklady spojené s </w:t>
      </w:r>
      <w:r w:rsidR="00D40529">
        <w:rPr>
          <w:bCs/>
          <w:shd w:val="clear" w:color="auto" w:fill="FFFFFF"/>
          <w:lang w:eastAsia="cs-CZ" w:bidi="ar-SA"/>
        </w:rPr>
        <w:t>pravidelnou údržb</w:t>
      </w:r>
      <w:r w:rsidR="0004035E">
        <w:rPr>
          <w:bCs/>
          <w:shd w:val="clear" w:color="auto" w:fill="FFFFFF"/>
          <w:lang w:eastAsia="cs-CZ" w:bidi="ar-SA"/>
        </w:rPr>
        <w:t xml:space="preserve">ou </w:t>
      </w:r>
      <w:r w:rsidR="005E73E7">
        <w:rPr>
          <w:bCs/>
          <w:shd w:val="clear" w:color="auto" w:fill="FFFFFF"/>
          <w:lang w:eastAsia="cs-CZ" w:bidi="ar-SA"/>
        </w:rPr>
        <w:t>a</w:t>
      </w:r>
      <w:r w:rsidR="0004035E">
        <w:rPr>
          <w:bCs/>
          <w:shd w:val="clear" w:color="auto" w:fill="FFFFFF"/>
          <w:lang w:eastAsia="cs-CZ" w:bidi="ar-SA"/>
        </w:rPr>
        <w:t xml:space="preserve"> provozem </w:t>
      </w:r>
      <w:r w:rsidR="00D40529">
        <w:rPr>
          <w:bCs/>
          <w:shd w:val="clear" w:color="auto" w:fill="FFFFFF"/>
          <w:lang w:eastAsia="cs-CZ" w:bidi="ar-SA"/>
        </w:rPr>
        <w:t>městsk</w:t>
      </w:r>
      <w:r w:rsidR="0004035E">
        <w:rPr>
          <w:bCs/>
          <w:shd w:val="clear" w:color="auto" w:fill="FFFFFF"/>
          <w:lang w:eastAsia="cs-CZ" w:bidi="ar-SA"/>
        </w:rPr>
        <w:t>é hromadné dopravy</w:t>
      </w:r>
      <w:r w:rsidR="00D40529">
        <w:rPr>
          <w:bCs/>
          <w:shd w:val="clear" w:color="auto" w:fill="FFFFFF"/>
          <w:lang w:eastAsia="cs-CZ" w:bidi="ar-SA"/>
        </w:rPr>
        <w:t xml:space="preserve">, </w:t>
      </w:r>
      <w:r w:rsidR="0004035E">
        <w:rPr>
          <w:bCs/>
          <w:shd w:val="clear" w:color="auto" w:fill="FFFFFF"/>
          <w:lang w:eastAsia="cs-CZ" w:bidi="ar-SA"/>
        </w:rPr>
        <w:t>tento projekt by však neměl přispět k jejich</w:t>
      </w:r>
      <w:r w:rsidR="00D40529">
        <w:rPr>
          <w:bCs/>
          <w:shd w:val="clear" w:color="auto" w:fill="FFFFFF"/>
          <w:lang w:eastAsia="cs-CZ" w:bidi="ar-SA"/>
        </w:rPr>
        <w:t xml:space="preserve"> navýšení.</w:t>
      </w:r>
    </w:p>
    <w:p w:rsidR="007A43A7" w:rsidRPr="0071520F" w:rsidRDefault="007A43A7" w:rsidP="00E65CC7">
      <w:pPr>
        <w:pStyle w:val="Nadpis2"/>
        <w:numPr>
          <w:ilvl w:val="1"/>
          <w:numId w:val="5"/>
        </w:numPr>
        <w:rPr>
          <w:shd w:val="clear" w:color="auto" w:fill="FFFFFF"/>
          <w:lang w:bidi="ar-SA"/>
        </w:rPr>
      </w:pPr>
      <w:bookmarkStart w:id="55" w:name="_Toc407101608"/>
      <w:bookmarkStart w:id="56" w:name="_Toc410160030"/>
      <w:r w:rsidRPr="0071520F">
        <w:rPr>
          <w:shd w:val="clear" w:color="auto" w:fill="FFFFFF"/>
          <w:lang w:bidi="ar-SA"/>
        </w:rPr>
        <w:lastRenderedPageBreak/>
        <w:t>Rekonstrukce a dostavba hotelu Maximus Resort</w:t>
      </w:r>
      <w:bookmarkEnd w:id="55"/>
      <w:bookmarkEnd w:id="56"/>
    </w:p>
    <w:tbl>
      <w:tblPr>
        <w:tblStyle w:val="Mkatabulky"/>
        <w:tblW w:w="0" w:type="auto"/>
        <w:shd w:val="clear" w:color="auto" w:fill="F2F2F2" w:themeFill="background1" w:themeFillShade="F2"/>
        <w:tblLook w:val="04A0"/>
      </w:tblPr>
      <w:tblGrid>
        <w:gridCol w:w="4606"/>
        <w:gridCol w:w="4606"/>
      </w:tblGrid>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ČÍSLO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PROGRAMOVÉ OBDOBÍ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Strukturální 2007-2013</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NÁZEV PROGRAMU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ROP NUTS II Jihovýchod</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035E" w:rsidRPr="0071520F" w:rsidRDefault="007A43A7" w:rsidP="007A43A7">
            <w:pPr>
              <w:rPr>
                <w:b/>
              </w:rPr>
            </w:pPr>
            <w:r w:rsidRPr="0071520F">
              <w:rPr>
                <w:b/>
              </w:rPr>
              <w:t>PRIORITA</w:t>
            </w:r>
            <w:r w:rsidR="0004035E">
              <w:rPr>
                <w:b/>
              </w:rPr>
              <w:t xml:space="preserve"> / </w:t>
            </w:r>
            <w:r w:rsidR="0004035E" w:rsidRPr="0071520F">
              <w:rPr>
                <w:b/>
              </w:rPr>
              <w:t>OPATŘENÍ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6E2678" w:rsidP="007A43A7">
            <w:r w:rsidRPr="006E2678">
              <w:t>Místní ekonomický rozvoj</w:t>
            </w:r>
            <w:r w:rsidR="0004035E">
              <w:t xml:space="preserve"> / </w:t>
            </w:r>
            <w:r w:rsidR="0004035E" w:rsidRPr="006E2678">
              <w:t>Připravit Brno k rozvoji podnikání</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STAV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rPr>
              <w:t>Realizace projektu ukončena</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ZAHÁJENÍ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6E2678" w:rsidP="007A43A7">
            <w:r w:rsidRPr="006E2678">
              <w:t>29. 1. 2010</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TERMÍN UKONČENÍ</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6E2678" w:rsidP="007A43A7">
            <w:r w:rsidRPr="006E2678">
              <w:t>22. 9. 2012</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ŽADATEL</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rPr>
                <w:bCs/>
                <w:shd w:val="clear" w:color="auto" w:fill="F1F1F1"/>
              </w:rPr>
              <w:t>Maximus Resort, a.s.</w:t>
            </w:r>
          </w:p>
        </w:tc>
      </w:tr>
      <w:tr w:rsidR="007A43A7"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pPr>
              <w:rPr>
                <w:b/>
              </w:rPr>
            </w:pPr>
            <w:r w:rsidRPr="0071520F">
              <w:rPr>
                <w:b/>
              </w:rPr>
              <w:t>NÁKLADY PROJEKTU</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3A7" w:rsidRPr="0071520F" w:rsidRDefault="007A43A7" w:rsidP="007A43A7">
            <w:r w:rsidRPr="0071520F">
              <w:t>111 901 971,14 Kč</w:t>
            </w:r>
          </w:p>
        </w:tc>
      </w:tr>
      <w:tr w:rsidR="003B34B0" w:rsidRPr="0071520F" w:rsidTr="007A43A7">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71520F" w:rsidRDefault="00581CD3" w:rsidP="007A43A7">
            <w:pPr>
              <w:rPr>
                <w:b/>
              </w:rPr>
            </w:pPr>
            <w:r>
              <w:rPr>
                <w:b/>
              </w:rPr>
              <w:t>VÝŠE DOTACE</w:t>
            </w:r>
          </w:p>
        </w:tc>
        <w:tc>
          <w:tcPr>
            <w:tcW w:w="4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34B0" w:rsidRPr="00581CD3" w:rsidRDefault="00581CD3" w:rsidP="007A43A7">
            <w:pPr>
              <w:rPr>
                <w:rFonts w:cs="Times New Roman"/>
              </w:rPr>
            </w:pPr>
            <w:r w:rsidRPr="00581CD3">
              <w:rPr>
                <w:rFonts w:cs="Times New Roman"/>
                <w:bCs/>
                <w:color w:val="000000"/>
                <w:szCs w:val="20"/>
                <w:shd w:val="clear" w:color="auto" w:fill="F1F1F1"/>
              </w:rPr>
              <w:t>45 230 281 Kč (40 %)</w:t>
            </w:r>
          </w:p>
        </w:tc>
      </w:tr>
    </w:tbl>
    <w:p w:rsidR="007A43A7" w:rsidRPr="006F2E12" w:rsidRDefault="007A43A7" w:rsidP="006F2E12">
      <w:pPr>
        <w:pStyle w:val="Nadpis4"/>
        <w:rPr>
          <w:shd w:val="clear" w:color="auto" w:fill="FFFFFF"/>
        </w:rPr>
      </w:pPr>
      <w:r w:rsidRPr="006F2E12">
        <w:t>Krátký popis projektu</w:t>
      </w:r>
    </w:p>
    <w:p w:rsidR="007A43A7" w:rsidRPr="0071520F" w:rsidRDefault="007A43A7" w:rsidP="007316FA">
      <w:pPr>
        <w:ind w:firstLine="708"/>
        <w:rPr>
          <w:lang w:eastAsia="cs-CZ" w:bidi="ar-SA"/>
        </w:rPr>
      </w:pPr>
      <w:r w:rsidRPr="0071520F">
        <w:rPr>
          <w:lang w:eastAsia="cs-CZ" w:bidi="ar-SA"/>
        </w:rPr>
        <w:t>Primárním cílem rekonstrukce a přestavby hotelu Maximus Resort je zvýšení potenciálu tohoto zařízení a rozšíření jeho působnosti na další cílové skupiny zákazníků. Globálně jde o zvyšování turistického ruchu v zajímavé lokalitě, o zkvalitnění nabídky služeb, rozšíření ubytovací kapacity i celkových možností hotelu</w:t>
      </w:r>
      <w:r w:rsidR="007316FA">
        <w:rPr>
          <w:lang w:eastAsia="cs-CZ" w:bidi="ar-SA"/>
        </w:rPr>
        <w:t xml:space="preserve"> nejen</w:t>
      </w:r>
      <w:r w:rsidR="007316FA" w:rsidRPr="007316FA">
        <w:rPr>
          <w:lang w:eastAsia="cs-CZ" w:bidi="ar-SA"/>
        </w:rPr>
        <w:t xml:space="preserve"> </w:t>
      </w:r>
      <w:r w:rsidR="007316FA" w:rsidRPr="0071520F">
        <w:rPr>
          <w:lang w:eastAsia="cs-CZ" w:bidi="ar-SA"/>
        </w:rPr>
        <w:t>pro konferenční turistiku</w:t>
      </w:r>
      <w:r w:rsidRPr="0071520F">
        <w:rPr>
          <w:lang w:eastAsia="cs-CZ" w:bidi="ar-SA"/>
        </w:rPr>
        <w:t>.</w:t>
      </w:r>
      <w:r w:rsidR="007316FA">
        <w:rPr>
          <w:lang w:eastAsia="cs-CZ" w:bidi="ar-SA"/>
        </w:rPr>
        <w:t xml:space="preserve"> </w:t>
      </w:r>
      <w:r w:rsidRPr="0071520F">
        <w:rPr>
          <w:lang w:eastAsia="cs-CZ" w:bidi="ar-SA"/>
        </w:rPr>
        <w:t>Vznikne tak unikátní ubytovací komplex s bohatou nabídkou relaxačních</w:t>
      </w:r>
      <w:r w:rsidR="007316FA">
        <w:rPr>
          <w:lang w:eastAsia="cs-CZ" w:bidi="ar-SA"/>
        </w:rPr>
        <w:t xml:space="preserve">, </w:t>
      </w:r>
      <w:r w:rsidRPr="0071520F">
        <w:rPr>
          <w:lang w:eastAsia="cs-CZ" w:bidi="ar-SA"/>
        </w:rPr>
        <w:t>sportovní</w:t>
      </w:r>
      <w:r w:rsidR="007316FA">
        <w:rPr>
          <w:lang w:eastAsia="cs-CZ" w:bidi="ar-SA"/>
        </w:rPr>
        <w:t>ch i</w:t>
      </w:r>
      <w:r w:rsidRPr="0071520F">
        <w:rPr>
          <w:lang w:eastAsia="cs-CZ" w:bidi="ar-SA"/>
        </w:rPr>
        <w:t xml:space="preserve"> </w:t>
      </w:r>
      <w:r w:rsidR="007316FA" w:rsidRPr="0071520F">
        <w:rPr>
          <w:lang w:eastAsia="cs-CZ" w:bidi="ar-SA"/>
        </w:rPr>
        <w:t xml:space="preserve">wellness a spa </w:t>
      </w:r>
      <w:r w:rsidRPr="0071520F">
        <w:rPr>
          <w:lang w:eastAsia="cs-CZ" w:bidi="ar-SA"/>
        </w:rPr>
        <w:t>aktivit.</w:t>
      </w:r>
      <w:r w:rsidR="007316FA">
        <w:rPr>
          <w:lang w:eastAsia="cs-CZ" w:bidi="ar-SA"/>
        </w:rPr>
        <w:t xml:space="preserve"> </w:t>
      </w:r>
      <w:r w:rsidRPr="0071520F">
        <w:rPr>
          <w:lang w:eastAsia="cs-CZ" w:bidi="ar-SA"/>
        </w:rPr>
        <w:t>Původní hotel bude rozšířen o wellnes</w:t>
      </w:r>
      <w:r w:rsidR="00232E93">
        <w:rPr>
          <w:lang w:eastAsia="cs-CZ" w:bidi="ar-SA"/>
        </w:rPr>
        <w:t>s</w:t>
      </w:r>
      <w:r w:rsidRPr="0071520F">
        <w:rPr>
          <w:lang w:eastAsia="cs-CZ" w:bidi="ar-SA"/>
        </w:rPr>
        <w:t xml:space="preserve"> a spa centr</w:t>
      </w:r>
      <w:r w:rsidR="007316FA">
        <w:rPr>
          <w:lang w:eastAsia="cs-CZ" w:bidi="ar-SA"/>
        </w:rPr>
        <w:t xml:space="preserve">um </w:t>
      </w:r>
      <w:r w:rsidRPr="0071520F">
        <w:rPr>
          <w:lang w:eastAsia="cs-CZ" w:bidi="ar-SA"/>
        </w:rPr>
        <w:t>propojené s venkovní relaxační zónou areálu</w:t>
      </w:r>
      <w:r w:rsidR="007316FA">
        <w:rPr>
          <w:lang w:eastAsia="cs-CZ" w:bidi="ar-SA"/>
        </w:rPr>
        <w:t xml:space="preserve">, navýšena bude výrazně i ubytovací kapacita </w:t>
      </w:r>
      <w:r w:rsidR="007316FA" w:rsidRPr="0071520F">
        <w:rPr>
          <w:lang w:eastAsia="cs-CZ" w:bidi="ar-SA"/>
        </w:rPr>
        <w:t>o 47 pokojů</w:t>
      </w:r>
      <w:r w:rsidR="007316FA">
        <w:rPr>
          <w:lang w:eastAsia="cs-CZ" w:bidi="ar-SA"/>
        </w:rPr>
        <w:t xml:space="preserve"> a přibude i</w:t>
      </w:r>
      <w:r w:rsidRPr="0071520F">
        <w:rPr>
          <w:lang w:eastAsia="cs-CZ" w:bidi="ar-SA"/>
        </w:rPr>
        <w:t xml:space="preserve"> funkčně řešen</w:t>
      </w:r>
      <w:r w:rsidR="007316FA">
        <w:rPr>
          <w:lang w:eastAsia="cs-CZ" w:bidi="ar-SA"/>
        </w:rPr>
        <w:t>ý</w:t>
      </w:r>
      <w:r w:rsidRPr="0071520F">
        <w:rPr>
          <w:lang w:eastAsia="cs-CZ" w:bidi="ar-SA"/>
        </w:rPr>
        <w:t xml:space="preserve"> kongresov</w:t>
      </w:r>
      <w:r w:rsidR="007316FA">
        <w:rPr>
          <w:lang w:eastAsia="cs-CZ" w:bidi="ar-SA"/>
        </w:rPr>
        <w:t>ý</w:t>
      </w:r>
      <w:r w:rsidRPr="0071520F">
        <w:rPr>
          <w:lang w:eastAsia="cs-CZ" w:bidi="ar-SA"/>
        </w:rPr>
        <w:t xml:space="preserve"> sál</w:t>
      </w:r>
      <w:r w:rsidR="007316FA">
        <w:rPr>
          <w:lang w:eastAsia="cs-CZ" w:bidi="ar-SA"/>
        </w:rPr>
        <w:t xml:space="preserve"> o celkové kapacitě 200 osob</w:t>
      </w:r>
      <w:r w:rsidRPr="0071520F">
        <w:rPr>
          <w:lang w:eastAsia="cs-CZ" w:bidi="ar-SA"/>
        </w:rPr>
        <w:t>, jenž se v případě potřeby může rozdělit na pět samo</w:t>
      </w:r>
      <w:r w:rsidR="007316FA">
        <w:rPr>
          <w:lang w:eastAsia="cs-CZ" w:bidi="ar-SA"/>
        </w:rPr>
        <w:t>statných konferenční místností.</w:t>
      </w:r>
    </w:p>
    <w:p w:rsidR="007A43A7" w:rsidRPr="006F2E12" w:rsidRDefault="007A43A7" w:rsidP="006F2E12">
      <w:pPr>
        <w:pStyle w:val="Nadpis4"/>
      </w:pPr>
      <w:r w:rsidRPr="006F2E12">
        <w:t>Rozpočet</w:t>
      </w:r>
    </w:p>
    <w:p w:rsidR="00232E93" w:rsidRDefault="005E73E7" w:rsidP="00D56EF6">
      <w:pPr>
        <w:ind w:firstLine="360"/>
        <w:rPr>
          <w:rFonts w:asciiTheme="majorHAnsi" w:eastAsiaTheme="majorEastAsia" w:hAnsiTheme="majorHAnsi"/>
          <w:b/>
          <w:bCs/>
          <w:kern w:val="32"/>
          <w:sz w:val="32"/>
          <w:szCs w:val="32"/>
        </w:rPr>
      </w:pPr>
      <w:r>
        <w:rPr>
          <w:lang w:eastAsia="cs-CZ" w:bidi="ar-SA"/>
        </w:rPr>
        <w:t>Hlavním cílem projektu bylo</w:t>
      </w:r>
      <w:r>
        <w:rPr>
          <w:shd w:val="clear" w:color="auto" w:fill="FFFFFF"/>
          <w:lang w:eastAsia="cs-CZ" w:bidi="ar-SA"/>
        </w:rPr>
        <w:t xml:space="preserve"> </w:t>
      </w:r>
      <w:r w:rsidRPr="0071520F">
        <w:rPr>
          <w:shd w:val="clear" w:color="auto" w:fill="FFFFFF"/>
          <w:lang w:eastAsia="cs-CZ" w:bidi="ar-SA"/>
        </w:rPr>
        <w:t>uspokoj</w:t>
      </w:r>
      <w:r>
        <w:rPr>
          <w:shd w:val="clear" w:color="auto" w:fill="FFFFFF"/>
          <w:lang w:eastAsia="cs-CZ" w:bidi="ar-SA"/>
        </w:rPr>
        <w:t>it vysokou poptávku, kterou</w:t>
      </w:r>
      <w:r w:rsidRPr="0071520F">
        <w:rPr>
          <w:shd w:val="clear" w:color="auto" w:fill="FFFFFF"/>
          <w:lang w:eastAsia="cs-CZ" w:bidi="ar-SA"/>
        </w:rPr>
        <w:t xml:space="preserve"> nebyl </w:t>
      </w:r>
      <w:proofErr w:type="spellStart"/>
      <w:r w:rsidRPr="0071520F">
        <w:rPr>
          <w:shd w:val="clear" w:color="auto" w:fill="FFFFFF"/>
          <w:lang w:eastAsia="cs-CZ" w:bidi="ar-SA"/>
        </w:rPr>
        <w:t>Maximus</w:t>
      </w:r>
      <w:proofErr w:type="spellEnd"/>
      <w:r w:rsidRPr="0071520F">
        <w:rPr>
          <w:shd w:val="clear" w:color="auto" w:fill="FFFFFF"/>
          <w:lang w:eastAsia="cs-CZ" w:bidi="ar-SA"/>
        </w:rPr>
        <w:t xml:space="preserve"> Resort schopen z důvodu nedostatečné kapacity</w:t>
      </w:r>
      <w:r w:rsidRPr="005E73E7">
        <w:rPr>
          <w:shd w:val="clear" w:color="auto" w:fill="FFFFFF"/>
          <w:lang w:eastAsia="cs-CZ" w:bidi="ar-SA"/>
        </w:rPr>
        <w:t xml:space="preserve"> </w:t>
      </w:r>
      <w:r w:rsidRPr="0071520F">
        <w:rPr>
          <w:shd w:val="clear" w:color="auto" w:fill="FFFFFF"/>
          <w:lang w:eastAsia="cs-CZ" w:bidi="ar-SA"/>
        </w:rPr>
        <w:t>uspokojit.</w:t>
      </w:r>
      <w:r>
        <w:rPr>
          <w:rStyle w:val="Znakapoznpodarou"/>
          <w:shd w:val="clear" w:color="auto" w:fill="FFFFFF"/>
          <w:lang w:eastAsia="cs-CZ" w:bidi="ar-SA"/>
        </w:rPr>
        <w:footnoteReference w:id="8"/>
      </w:r>
      <w:r>
        <w:rPr>
          <w:shd w:val="clear" w:color="auto" w:fill="FFFFFF"/>
          <w:lang w:eastAsia="cs-CZ" w:bidi="ar-SA"/>
        </w:rPr>
        <w:t xml:space="preserve"> Brnu pak projekt přinese další rozšíření celkového potenciálu města spojeného s kongresovou turistikou. </w:t>
      </w:r>
      <w:r>
        <w:rPr>
          <w:lang w:eastAsia="cs-CZ" w:bidi="ar-SA"/>
        </w:rPr>
        <w:t>Je tak</w:t>
      </w:r>
      <w:r w:rsidR="009D0F60">
        <w:rPr>
          <w:lang w:eastAsia="cs-CZ" w:bidi="ar-SA"/>
        </w:rPr>
        <w:t xml:space="preserve"> více než</w:t>
      </w:r>
      <w:r>
        <w:rPr>
          <w:lang w:eastAsia="cs-CZ" w:bidi="ar-SA"/>
        </w:rPr>
        <w:t xml:space="preserve"> pravděpodobné, že b</w:t>
      </w:r>
      <w:r w:rsidR="007A43A7" w:rsidRPr="0071520F">
        <w:rPr>
          <w:lang w:eastAsia="cs-CZ" w:bidi="ar-SA"/>
        </w:rPr>
        <w:t>udoucí výdaje</w:t>
      </w:r>
      <w:r>
        <w:rPr>
          <w:lang w:eastAsia="cs-CZ" w:bidi="ar-SA"/>
        </w:rPr>
        <w:t xml:space="preserve"> si </w:t>
      </w:r>
      <w:r w:rsidR="007A43A7" w:rsidRPr="0071520F">
        <w:rPr>
          <w:lang w:eastAsia="cs-CZ" w:bidi="ar-SA"/>
        </w:rPr>
        <w:t xml:space="preserve">resort </w:t>
      </w:r>
      <w:proofErr w:type="spellStart"/>
      <w:r>
        <w:rPr>
          <w:lang w:eastAsia="cs-CZ" w:bidi="ar-SA"/>
        </w:rPr>
        <w:t>Maximus</w:t>
      </w:r>
      <w:proofErr w:type="spellEnd"/>
      <w:r>
        <w:rPr>
          <w:lang w:eastAsia="cs-CZ" w:bidi="ar-SA"/>
        </w:rPr>
        <w:t xml:space="preserve"> bude schopen platit sám</w:t>
      </w:r>
      <w:r w:rsidR="009D0F60">
        <w:rPr>
          <w:lang w:eastAsia="cs-CZ" w:bidi="ar-SA"/>
        </w:rPr>
        <w:t xml:space="preserve">, a </w:t>
      </w:r>
      <w:r w:rsidR="009D0F60" w:rsidRPr="0071520F">
        <w:rPr>
          <w:shd w:val="clear" w:color="auto" w:fill="FFFFFF"/>
          <w:lang w:eastAsia="cs-CZ" w:bidi="ar-SA"/>
        </w:rPr>
        <w:t>počítá</w:t>
      </w:r>
      <w:r w:rsidR="009D0F60">
        <w:rPr>
          <w:shd w:val="clear" w:color="auto" w:fill="FFFFFF"/>
          <w:lang w:eastAsia="cs-CZ" w:bidi="ar-SA"/>
        </w:rPr>
        <w:t xml:space="preserve"> se tedy</w:t>
      </w:r>
      <w:r w:rsidR="009D0F60" w:rsidRPr="0071520F">
        <w:rPr>
          <w:shd w:val="clear" w:color="auto" w:fill="FFFFFF"/>
          <w:lang w:eastAsia="cs-CZ" w:bidi="ar-SA"/>
        </w:rPr>
        <w:t xml:space="preserve"> s finančním zajištěním ze strany Resortu</w:t>
      </w:r>
      <w:r w:rsidR="009D0F60">
        <w:rPr>
          <w:shd w:val="clear" w:color="auto" w:fill="FFFFFF"/>
          <w:lang w:eastAsia="cs-CZ" w:bidi="ar-SA"/>
        </w:rPr>
        <w:t xml:space="preserve"> </w:t>
      </w:r>
      <w:r w:rsidR="007A43A7" w:rsidRPr="0071520F">
        <w:rPr>
          <w:lang w:eastAsia="cs-CZ" w:bidi="ar-SA"/>
        </w:rPr>
        <w:t>b</w:t>
      </w:r>
      <w:r>
        <w:rPr>
          <w:lang w:eastAsia="cs-CZ" w:bidi="ar-SA"/>
        </w:rPr>
        <w:t>ez podpory města</w:t>
      </w:r>
      <w:r w:rsidR="007A43A7" w:rsidRPr="0071520F">
        <w:rPr>
          <w:lang w:eastAsia="cs-CZ" w:bidi="ar-SA"/>
        </w:rPr>
        <w:t xml:space="preserve">. </w:t>
      </w:r>
      <w:r w:rsidR="007A43A7" w:rsidRPr="0071520F">
        <w:rPr>
          <w:shd w:val="clear" w:color="auto" w:fill="FFFFFF"/>
          <w:lang w:eastAsia="cs-CZ" w:bidi="ar-SA"/>
        </w:rPr>
        <w:t>Dotace byla vypočtena na 3</w:t>
      </w:r>
      <w:r w:rsidR="007316FA">
        <w:rPr>
          <w:shd w:val="clear" w:color="auto" w:fill="FFFFFF"/>
          <w:lang w:eastAsia="cs-CZ" w:bidi="ar-SA"/>
        </w:rPr>
        <w:t>8 mil.</w:t>
      </w:r>
      <w:r w:rsidR="007A43A7" w:rsidRPr="0071520F">
        <w:rPr>
          <w:shd w:val="clear" w:color="auto" w:fill="FFFFFF"/>
          <w:lang w:eastAsia="cs-CZ" w:bidi="ar-SA"/>
        </w:rPr>
        <w:t> Kč, z toho bylo vyplaceno 3</w:t>
      </w:r>
      <w:r w:rsidR="007316FA">
        <w:rPr>
          <w:shd w:val="clear" w:color="auto" w:fill="FFFFFF"/>
          <w:lang w:eastAsia="cs-CZ" w:bidi="ar-SA"/>
        </w:rPr>
        <w:t>5 mil.</w:t>
      </w:r>
      <w:r w:rsidR="009D0F60">
        <w:rPr>
          <w:shd w:val="clear" w:color="auto" w:fill="FFFFFF"/>
          <w:lang w:eastAsia="cs-CZ" w:bidi="ar-SA"/>
        </w:rPr>
        <w:t> Kč z evropských fondů. Z</w:t>
      </w:r>
      <w:r w:rsidR="007A43A7" w:rsidRPr="0071520F">
        <w:rPr>
          <w:shd w:val="clear" w:color="auto" w:fill="FFFFFF"/>
          <w:lang w:eastAsia="cs-CZ" w:bidi="ar-SA"/>
        </w:rPr>
        <w:t>bytek financí byl pokryt ze soukromých účtů</w:t>
      </w:r>
      <w:r w:rsidR="009D0F60">
        <w:rPr>
          <w:shd w:val="clear" w:color="auto" w:fill="FFFFFF"/>
          <w:lang w:eastAsia="cs-CZ" w:bidi="ar-SA"/>
        </w:rPr>
        <w:t xml:space="preserve"> i z</w:t>
      </w:r>
      <w:r w:rsidR="007A43A7" w:rsidRPr="0071520F">
        <w:rPr>
          <w:shd w:val="clear" w:color="auto" w:fill="FFFFFF"/>
          <w:lang w:eastAsia="cs-CZ" w:bidi="ar-SA"/>
        </w:rPr>
        <w:t> podpory J</w:t>
      </w:r>
      <w:r w:rsidR="009D0F60">
        <w:rPr>
          <w:shd w:val="clear" w:color="auto" w:fill="FFFFFF"/>
          <w:lang w:eastAsia="cs-CZ" w:bidi="ar-SA"/>
        </w:rPr>
        <w:t>ihomoravského kraje</w:t>
      </w:r>
      <w:r w:rsidR="007A43A7" w:rsidRPr="0071520F">
        <w:rPr>
          <w:shd w:val="clear" w:color="auto" w:fill="FFFFFF"/>
          <w:lang w:eastAsia="cs-CZ" w:bidi="ar-SA"/>
        </w:rPr>
        <w:t>.</w:t>
      </w:r>
    </w:p>
    <w:p w:rsidR="002107FC" w:rsidRPr="00232E93" w:rsidRDefault="002107FC" w:rsidP="00232E93">
      <w:pPr>
        <w:pStyle w:val="Nadpis1"/>
        <w:numPr>
          <w:ilvl w:val="0"/>
          <w:numId w:val="5"/>
        </w:numPr>
      </w:pPr>
      <w:bookmarkStart w:id="57" w:name="_Toc407101609"/>
      <w:bookmarkStart w:id="58" w:name="_Toc410160031"/>
      <w:r w:rsidRPr="00232E93">
        <w:lastRenderedPageBreak/>
        <w:t>Závěr</w:t>
      </w:r>
      <w:bookmarkEnd w:id="57"/>
      <w:bookmarkEnd w:id="58"/>
    </w:p>
    <w:p w:rsidR="00BA2E16" w:rsidRDefault="006E2678" w:rsidP="007316FA">
      <w:pPr>
        <w:ind w:firstLine="360"/>
      </w:pPr>
      <w:r>
        <w:t xml:space="preserve">Na samotný závěr bychom </w:t>
      </w:r>
      <w:r w:rsidR="00C31AEE" w:rsidRPr="0071520F">
        <w:t>rádi</w:t>
      </w:r>
      <w:r w:rsidR="00BA2E16">
        <w:t xml:space="preserve"> n</w:t>
      </w:r>
      <w:r w:rsidR="00BA2E16" w:rsidRPr="0071520F">
        <w:t>a základě zkušeností, které jsme při psaní této analýzy sami získali</w:t>
      </w:r>
      <w:r w:rsidR="00BA2E16">
        <w:t>,</w:t>
      </w:r>
      <w:r w:rsidR="00C31AEE" w:rsidRPr="0071520F">
        <w:t xml:space="preserve"> shrnuli</w:t>
      </w:r>
      <w:r>
        <w:t xml:space="preserve"> to</w:t>
      </w:r>
      <w:r w:rsidR="00C31AEE" w:rsidRPr="0071520F">
        <w:t>, co zohlednit při vytváření nové Strategie pro Brno</w:t>
      </w:r>
      <w:r w:rsidR="00BA2E16">
        <w:t>, a kam by se dle našich</w:t>
      </w:r>
      <w:r w:rsidR="00BA2E16" w:rsidRPr="00BA2E16">
        <w:t xml:space="preserve"> osobních názorů mělo Brno ubírat do budoucna</w:t>
      </w:r>
      <w:r w:rsidR="00BA2E16">
        <w:t>.</w:t>
      </w:r>
    </w:p>
    <w:p w:rsidR="002107FC" w:rsidRPr="0071520F" w:rsidRDefault="00BA2E16" w:rsidP="007316FA">
      <w:pPr>
        <w:ind w:firstLine="360"/>
      </w:pPr>
      <w:r>
        <w:t>Pokud jde o závěrečná doporučení, n</w:t>
      </w:r>
      <w:r w:rsidR="007859ED" w:rsidRPr="0071520F">
        <w:t xml:space="preserve">ení nutné opakovat </w:t>
      </w:r>
      <w:r>
        <w:t>ty</w:t>
      </w:r>
      <w:r w:rsidR="007859ED" w:rsidRPr="0071520F">
        <w:t xml:space="preserve"> daná bě</w:t>
      </w:r>
      <w:r w:rsidR="009913C7">
        <w:t>hem hodnocení jednotlivých cílů a priorit. V</w:t>
      </w:r>
      <w:r w:rsidR="00C31AEE" w:rsidRPr="0071520F">
        <w:t xml:space="preserve">zhledem k zacílení </w:t>
      </w:r>
      <w:r w:rsidR="009913C7">
        <w:t xml:space="preserve">proto jen krátce </w:t>
      </w:r>
      <w:r w:rsidR="00C31AEE" w:rsidRPr="0071520F">
        <w:t xml:space="preserve">uvedeme </w:t>
      </w:r>
      <w:r w:rsidR="007859ED" w:rsidRPr="0071520F">
        <w:t>otázky</w:t>
      </w:r>
      <w:r w:rsidR="009913C7">
        <w:t>, které se zabývají jednotlivými opatřeními - tedy poslední</w:t>
      </w:r>
      <w:r w:rsidR="007859ED" w:rsidRPr="0071520F">
        <w:t xml:space="preserve"> </w:t>
      </w:r>
      <w:r w:rsidR="009913C7">
        <w:t>úrovní</w:t>
      </w:r>
      <w:r w:rsidR="0024625E">
        <w:t xml:space="preserve"> skeletu Strategie pro Brno</w:t>
      </w:r>
      <w:r w:rsidR="009913C7">
        <w:t>, které jsou zaměřené na konkrétní</w:t>
      </w:r>
      <w:r w:rsidR="00C31AEE" w:rsidRPr="0071520F">
        <w:t xml:space="preserve"> směry plnění cílů.</w:t>
      </w:r>
    </w:p>
    <w:p w:rsidR="00C31AEE" w:rsidRDefault="00B86DFF" w:rsidP="007A43A7">
      <w:pPr>
        <w:ind w:firstLine="360"/>
      </w:pPr>
      <w:r>
        <w:t xml:space="preserve">Prvním tématem, které by mělo být dle našeho názoru upraveno, je to </w:t>
      </w:r>
      <w:r w:rsidR="009913C7">
        <w:t xml:space="preserve">zabývající se areálem </w:t>
      </w:r>
      <w:r>
        <w:t xml:space="preserve">Letiště </w:t>
      </w:r>
      <w:proofErr w:type="spellStart"/>
      <w:r>
        <w:t>Tuřany</w:t>
      </w:r>
      <w:proofErr w:type="spellEnd"/>
      <w:r w:rsidR="00520369">
        <w:t xml:space="preserve"> (2.1.4)</w:t>
      </w:r>
      <w:r>
        <w:t>. U</w:t>
      </w:r>
      <w:r w:rsidR="00C31AEE" w:rsidRPr="0071520F">
        <w:t>vedení</w:t>
      </w:r>
      <w:r>
        <w:t xml:space="preserve"> této otázky</w:t>
      </w:r>
      <w:r w:rsidR="00C31AEE" w:rsidRPr="0071520F">
        <w:t xml:space="preserve"> </w:t>
      </w:r>
      <w:r w:rsidR="009913C7">
        <w:t xml:space="preserve">jen </w:t>
      </w:r>
      <w:r w:rsidR="00C31AEE" w:rsidRPr="0071520F">
        <w:t>v rámci 2. priority a pouze ve spojitosti s jeho ekonomickým potenciálem</w:t>
      </w:r>
      <w:r>
        <w:t xml:space="preserve"> se nám nezdá logické</w:t>
      </w:r>
      <w:r w:rsidR="00C31AEE" w:rsidRPr="0071520F">
        <w:t>. Město Brno totiž potřebuje v rámci 5. priority rozvíjet krom</w:t>
      </w:r>
      <w:r w:rsidR="009913C7">
        <w:t>ě</w:t>
      </w:r>
      <w:r w:rsidR="00C31AEE" w:rsidRPr="0071520F">
        <w:t xml:space="preserve"> </w:t>
      </w:r>
      <w:proofErr w:type="spellStart"/>
      <w:r w:rsidR="00C31AEE" w:rsidRPr="0071520F">
        <w:t>Europointu</w:t>
      </w:r>
      <w:proofErr w:type="spellEnd"/>
      <w:r w:rsidR="00C31AEE" w:rsidRPr="0071520F">
        <w:t xml:space="preserve"> Brno</w:t>
      </w:r>
      <w:r w:rsidR="00520369">
        <w:t xml:space="preserve"> (5.1.3) </w:t>
      </w:r>
      <w:r w:rsidR="00C31AEE" w:rsidRPr="0071520F">
        <w:t xml:space="preserve">a </w:t>
      </w:r>
      <w:r w:rsidR="00520369">
        <w:t xml:space="preserve">krajského </w:t>
      </w:r>
      <w:r w:rsidR="009913C7">
        <w:t>integrovaného dopravního systému (</w:t>
      </w:r>
      <w:r w:rsidR="00520369">
        <w:t>5.1.1</w:t>
      </w:r>
      <w:r w:rsidR="009913C7">
        <w:t>) i</w:t>
      </w:r>
      <w:r w:rsidR="00C31AEE" w:rsidRPr="0071520F">
        <w:t xml:space="preserve"> otázky </w:t>
      </w:r>
      <w:r w:rsidR="009913C7">
        <w:t>dopravy mezistátní</w:t>
      </w:r>
      <w:r>
        <w:t>, tedy v tomto případě dopravy letecké</w:t>
      </w:r>
      <w:r w:rsidR="009913C7">
        <w:t xml:space="preserve">. </w:t>
      </w:r>
      <w:r>
        <w:t>Dále se pak n</w:t>
      </w:r>
      <w:r w:rsidR="00C31AEE" w:rsidRPr="0071520F">
        <w:t>abízí</w:t>
      </w:r>
      <w:r>
        <w:t xml:space="preserve"> sjednocení opatření, kter</w:t>
      </w:r>
      <w:r w:rsidR="00520369">
        <w:t>á</w:t>
      </w:r>
      <w:r>
        <w:t xml:space="preserve"> se budou zabývat </w:t>
      </w:r>
      <w:r w:rsidR="009913C7">
        <w:t>vlakov</w:t>
      </w:r>
      <w:r w:rsidR="00520369">
        <w:t>ou</w:t>
      </w:r>
      <w:r w:rsidR="009913C7">
        <w:t>, leteck</w:t>
      </w:r>
      <w:r w:rsidR="00520369">
        <w:t>ou</w:t>
      </w:r>
      <w:r w:rsidR="009913C7">
        <w:t>, či autobusov</w:t>
      </w:r>
      <w:r w:rsidR="00520369">
        <w:t>ou dopravou směřující převážně (kapacitně) mimo Jihomoravský kraj, či Českou republiku</w:t>
      </w:r>
      <w:r w:rsidR="009913C7">
        <w:t>, a s nimi spojen</w:t>
      </w:r>
      <w:r>
        <w:t>ou</w:t>
      </w:r>
      <w:r w:rsidR="009913C7">
        <w:t xml:space="preserve"> infrastruktur</w:t>
      </w:r>
      <w:r>
        <w:t>ou</w:t>
      </w:r>
      <w:r w:rsidR="00C31AEE" w:rsidRPr="0071520F">
        <w:t>.</w:t>
      </w:r>
    </w:p>
    <w:p w:rsidR="00B86DFF" w:rsidRPr="0071520F" w:rsidRDefault="00B86DFF" w:rsidP="007A43A7">
      <w:pPr>
        <w:ind w:firstLine="360"/>
      </w:pPr>
      <w:r>
        <w:t>O</w:t>
      </w:r>
      <w:r w:rsidR="00520369">
        <w:t>patření spojená s</w:t>
      </w:r>
      <w:r w:rsidRPr="0071520F">
        <w:t xml:space="preserve"> doprav</w:t>
      </w:r>
      <w:r w:rsidR="00520369">
        <w:t>ou</w:t>
      </w:r>
      <w:r>
        <w:t xml:space="preserve"> pak přináší i další otázky. J</w:t>
      </w:r>
      <w:r w:rsidRPr="0071520F">
        <w:t>e zajímavé, že jsou v rámci jednoho opatření</w:t>
      </w:r>
      <w:r w:rsidR="00520369">
        <w:t xml:space="preserve"> (5.1.2)</w:t>
      </w:r>
      <w:r w:rsidRPr="0071520F">
        <w:t xml:space="preserve"> spojeny takové věci, jako je různorodá doprava,</w:t>
      </w:r>
      <w:r>
        <w:t xml:space="preserve"> stavby dopravní infrastruktury,</w:t>
      </w:r>
      <w:r w:rsidRPr="0071520F">
        <w:t xml:space="preserve"> parkování a ochrana centra před dopravním zaplněním. Přitom je potřeba rozvoje dopravy nejen motorové, ale i cyklistické, či jinak alternativní. Pokud chceme město zdravé a nepřeplněné </w:t>
      </w:r>
      <w:r>
        <w:t xml:space="preserve">osobní </w:t>
      </w:r>
      <w:r w:rsidRPr="0071520F">
        <w:t>dopravou, měly by se tyto otázky rozdělit</w:t>
      </w:r>
      <w:r>
        <w:t>. O</w:t>
      </w:r>
      <w:r w:rsidRPr="0071520F">
        <w:t xml:space="preserve">patření zlepšující možnosti cyklistické dopravy, </w:t>
      </w:r>
      <w:r>
        <w:t xml:space="preserve">dále </w:t>
      </w:r>
      <w:r w:rsidRPr="0071520F">
        <w:t xml:space="preserve">spojené </w:t>
      </w:r>
      <w:r>
        <w:t xml:space="preserve">např. </w:t>
      </w:r>
      <w:r w:rsidRPr="0071520F">
        <w:t>s průchodností a bezbariérovostí města (nejen) pro chodce</w:t>
      </w:r>
      <w:r w:rsidR="00520369">
        <w:t>,</w:t>
      </w:r>
      <w:r>
        <w:t xml:space="preserve"> nabízejí </w:t>
      </w:r>
      <w:r w:rsidRPr="0071520F">
        <w:t>další zajímav</w:t>
      </w:r>
      <w:r>
        <w:t>é</w:t>
      </w:r>
      <w:r w:rsidRPr="0071520F">
        <w:t xml:space="preserve"> možnost</w:t>
      </w:r>
      <w:r>
        <w:t>i</w:t>
      </w:r>
      <w:r w:rsidRPr="0071520F">
        <w:t>.</w:t>
      </w:r>
      <w:r>
        <w:t xml:space="preserve"> Alternativou je taktéž výše zmíněné propojení s meziměstskou dopravou, otázkou letiště i zapojením v současnosti odloučeného opatření spojen</w:t>
      </w:r>
      <w:r w:rsidR="00520369">
        <w:t>ého</w:t>
      </w:r>
      <w:r>
        <w:t xml:space="preserve"> s projektem </w:t>
      </w:r>
      <w:proofErr w:type="spellStart"/>
      <w:r>
        <w:t>Europoint</w:t>
      </w:r>
      <w:proofErr w:type="spellEnd"/>
      <w:r>
        <w:t xml:space="preserve"> Brno. Je zajímavé, jak je v některých částech Strategie pro Brno široce rozkročená, ale právě otázka ŽUB je specifikována např. oproti Velkému městskému okruhu až překvapivě úzce.</w:t>
      </w:r>
    </w:p>
    <w:p w:rsidR="00C31AEE" w:rsidRPr="0071520F" w:rsidRDefault="00C31AEE" w:rsidP="007A43A7">
      <w:pPr>
        <w:ind w:firstLine="360"/>
      </w:pPr>
      <w:r w:rsidRPr="0071520F">
        <w:t>Vzhledem k tomu, že cíl 4.1 uvádí pouze podmínky pro příchod a udržování elit, bylo by vhodné buď vytvořit speciální opatření v rámci 3. priority (tedy Účinná politika města ve školsk</w:t>
      </w:r>
      <w:r w:rsidR="0024625E">
        <w:t>é oblasti), nebo přidat</w:t>
      </w:r>
      <w:r w:rsidRPr="0071520F">
        <w:t xml:space="preserve"> </w:t>
      </w:r>
      <w:r w:rsidR="0024625E">
        <w:t>nové</w:t>
      </w:r>
      <w:r w:rsidR="007859ED" w:rsidRPr="0071520F">
        <w:t xml:space="preserve"> opatření v podobném znění v rámci priority 4. Rozvoj lidských zdrojů je sice jedna věc, rozvoj mateřského, základního, středního i vysokého školství je však spojeno i s vyšší atraktivitou života ve městě. Nabízí se proto taktéž rozdělení </w:t>
      </w:r>
      <w:r w:rsidR="007859ED" w:rsidRPr="0071520F">
        <w:lastRenderedPageBreak/>
        <w:t>„nevysokého školství“ do priority 3. a školství vysokého</w:t>
      </w:r>
      <w:r w:rsidR="0024625E">
        <w:t>, které je propojeno i s praxí a výzkumem,</w:t>
      </w:r>
      <w:r w:rsidR="007859ED" w:rsidRPr="0071520F">
        <w:t xml:space="preserve"> do priority 4.</w:t>
      </w:r>
    </w:p>
    <w:p w:rsidR="007859ED" w:rsidRPr="0071520F" w:rsidRDefault="007859ED" w:rsidP="007A43A7">
      <w:pPr>
        <w:ind w:firstLine="360"/>
      </w:pPr>
      <w:r w:rsidRPr="0071520F">
        <w:t xml:space="preserve">Další věcí, </w:t>
      </w:r>
      <w:r w:rsidR="0024625E">
        <w:t>která</w:t>
      </w:r>
      <w:r w:rsidRPr="0071520F">
        <w:t xml:space="preserve"> nás zaujala</w:t>
      </w:r>
      <w:r w:rsidR="0024625E">
        <w:t>,</w:t>
      </w:r>
      <w:r w:rsidRPr="0071520F">
        <w:t xml:space="preserve"> je definování „podpory cestovního ruchu s důrazem na kongresovou</w:t>
      </w:r>
      <w:r w:rsidR="007B26C8">
        <w:t xml:space="preserve"> turistiku“</w:t>
      </w:r>
      <w:r w:rsidR="00520369">
        <w:t xml:space="preserve"> (2.1.3)</w:t>
      </w:r>
      <w:r w:rsidR="007B26C8">
        <w:t>, která se</w:t>
      </w:r>
      <w:r w:rsidRPr="0071520F">
        <w:t xml:space="preserve"> dále </w:t>
      </w:r>
      <w:r w:rsidR="00520369">
        <w:t xml:space="preserve">tematický </w:t>
      </w:r>
      <w:r w:rsidRPr="0071520F">
        <w:t>drolí mezi kulturní vyžití</w:t>
      </w:r>
      <w:r w:rsidR="00520369">
        <w:t xml:space="preserve"> (3.1.3)</w:t>
      </w:r>
      <w:r w:rsidRPr="0071520F">
        <w:t>, či volnočasové aktivity</w:t>
      </w:r>
      <w:r w:rsidR="00520369">
        <w:t xml:space="preserve"> (3.1.2)</w:t>
      </w:r>
      <w:r w:rsidRPr="0071520F">
        <w:t>. Doporučujeme proto zpřesnit, či rozdělit opatření 2.1.3 tak, aby bylo patrné, jakou turistiku toto opatření ještě obsahuje a jakým směrem se chc</w:t>
      </w:r>
      <w:r w:rsidR="00520369">
        <w:t>e město Brno</w:t>
      </w:r>
      <w:r w:rsidR="00574282">
        <w:t xml:space="preserve"> v rámci cestovního ruchu</w:t>
      </w:r>
      <w:r w:rsidRPr="0071520F">
        <w:t xml:space="preserve"> rozvíjet i mimo kongresovou turistiku.</w:t>
      </w:r>
      <w:r w:rsidR="0024625E">
        <w:t xml:space="preserve"> Zároveň je možné doporučit úplně od turistiky oddělit právě část mluvící o „kongresové turistice“ a </w:t>
      </w:r>
      <w:r w:rsidR="007B26C8">
        <w:t>nesměrovat</w:t>
      </w:r>
      <w:r w:rsidR="0024625E">
        <w:t xml:space="preserve"> ji dle posledních</w:t>
      </w:r>
      <w:r w:rsidR="00B86DFF">
        <w:t xml:space="preserve"> </w:t>
      </w:r>
      <w:r w:rsidR="007B26C8">
        <w:t>zahraničních zkušeností</w:t>
      </w:r>
      <w:r w:rsidR="0024625E">
        <w:t xml:space="preserve"> </w:t>
      </w:r>
      <w:r w:rsidR="007B26C8">
        <w:t xml:space="preserve">k termínu </w:t>
      </w:r>
      <w:r w:rsidR="0024625E">
        <w:t>„konferenční průmysl“</w:t>
      </w:r>
      <w:r w:rsidR="007B26C8">
        <w:t>, který je širším a zároveň lepším pokrytím daného tématu</w:t>
      </w:r>
      <w:r w:rsidR="0024625E">
        <w:t>.</w:t>
      </w:r>
      <w:r w:rsidR="007B26C8">
        <w:t xml:space="preserve"> Samotná turistika </w:t>
      </w:r>
      <w:r w:rsidR="00574282">
        <w:t xml:space="preserve">se totiž od „konferenčního průmyslu“ </w:t>
      </w:r>
      <w:r w:rsidR="007B26C8">
        <w:t>liší složením zapojených osob i částmi průmyslu.</w:t>
      </w:r>
    </w:p>
    <w:p w:rsidR="00574282" w:rsidRDefault="00574282" w:rsidP="00574282">
      <w:pPr>
        <w:ind w:firstLine="360"/>
      </w:pPr>
      <w:r>
        <w:t>Pokud jde o náš názor na to, kam by se mělo město Brno ubírat do budoucna, a které tematické směry by měly být tou hlavní cestou pro formování nové strategie, je nutné si stanovit dva časové horizonty – krátkodobý směřující do období cca do 10 let a dlouhodobý nahlížející až do roku 2050.</w:t>
      </w:r>
    </w:p>
    <w:p w:rsidR="00574282" w:rsidRDefault="00574282" w:rsidP="00574282">
      <w:pPr>
        <w:ind w:firstLine="360"/>
      </w:pPr>
      <w:r>
        <w:t>V rámci krátkodobého horizontu bychom doporučovali pokračovat ve slibně rozjetém směřování města Brna</w:t>
      </w:r>
      <w:r w:rsidR="00346B70">
        <w:t>,</w:t>
      </w:r>
      <w:r>
        <w:t xml:space="preserve"> jako centra jižní Moravy a zároveň studentského města propojujícího se</w:t>
      </w:r>
      <w:r w:rsidR="00F67233">
        <w:t xml:space="preserve"> s rozvojem terciárního a kvartálního sektoru</w:t>
      </w:r>
      <w:r>
        <w:t>.</w:t>
      </w:r>
      <w:r w:rsidR="00346B70">
        <w:t xml:space="preserve"> </w:t>
      </w:r>
      <w:r w:rsidR="00F67233">
        <w:t>Prioritou první otázky je</w:t>
      </w:r>
      <w:r w:rsidR="00346B70">
        <w:t xml:space="preserve"> další podpora integrované dopravy a kvalitní dopravy hromadné, stejně jako dořešení regionálních projektů, jako je dostavba dálnice k Vídni, otázka R43, či brněnského vlakového i autobusového nádraží</w:t>
      </w:r>
      <w:r w:rsidR="00896E63">
        <w:t>.</w:t>
      </w:r>
      <w:r w:rsidR="00346B70">
        <w:rPr>
          <w:rStyle w:val="Znakapoznpodarou"/>
        </w:rPr>
        <w:footnoteReference w:id="9"/>
      </w:r>
      <w:r>
        <w:t xml:space="preserve"> </w:t>
      </w:r>
      <w:r w:rsidR="00F67233">
        <w:t xml:space="preserve">Druhá otázka by měla být řešena pokračujícím trendem </w:t>
      </w:r>
      <w:r w:rsidR="00346B70">
        <w:t xml:space="preserve">vytváření center výzkumu, vývoje a inovací, </w:t>
      </w:r>
      <w:r w:rsidR="00F67233">
        <w:t xml:space="preserve">příchodem odborníků z celé Evropy, </w:t>
      </w:r>
      <w:r w:rsidR="00346B70">
        <w:t>propojování školství s lokálními firmami, pod</w:t>
      </w:r>
      <w:r w:rsidR="00D51016">
        <w:t>pory</w:t>
      </w:r>
      <w:r w:rsidR="00346B70">
        <w:t xml:space="preserve"> výuky druhého cizího jazyka, či lákání zahraničních firem na potenciál kvalitních lidských zdrojů. Právě propojení praxe a teoretické výuky je směr, který by měl být dále podporován i z centrální úrovně České republiky. Je </w:t>
      </w:r>
      <w:r w:rsidR="00D51016">
        <w:t>zde</w:t>
      </w:r>
      <w:r w:rsidR="00346B70">
        <w:t xml:space="preserve"> však i otázka Brna jako centra českého soudnictví a propojení s fakultami věd sociálních, další spolupráce s Akademií věd ČR atd.</w:t>
      </w:r>
      <w:r w:rsidR="00D51016">
        <w:t xml:space="preserve"> To vše je nutné</w:t>
      </w:r>
      <w:r w:rsidR="00F67233">
        <w:t xml:space="preserve"> dále doplňovat otevíráním města pro občany, spojené se zlepšenou průchodností a průjezdností, zlepšováním životního prostředí</w:t>
      </w:r>
      <w:r w:rsidR="00905FBB">
        <w:t xml:space="preserve"> (polétavý prach, </w:t>
      </w:r>
      <w:proofErr w:type="spellStart"/>
      <w:r w:rsidR="00905FBB">
        <w:t>brownfields</w:t>
      </w:r>
      <w:proofErr w:type="spellEnd"/>
      <w:r w:rsidR="00905FBB">
        <w:t xml:space="preserve">, </w:t>
      </w:r>
      <w:r w:rsidR="002C7E2B">
        <w:t>využití potenciálu vodních toků a příměstských lesů…)</w:t>
      </w:r>
      <w:r w:rsidR="00F67233">
        <w:t>, přinášením možností trávení volného času a osobní</w:t>
      </w:r>
      <w:r w:rsidR="002C7E2B">
        <w:t>ho</w:t>
      </w:r>
      <w:r w:rsidR="00F67233">
        <w:t xml:space="preserve"> rozvoj</w:t>
      </w:r>
      <w:r w:rsidR="002C7E2B">
        <w:t>e</w:t>
      </w:r>
      <w:r w:rsidR="00F67233">
        <w:t>.</w:t>
      </w:r>
    </w:p>
    <w:p w:rsidR="009913C7" w:rsidRPr="0071520F" w:rsidRDefault="00896E63" w:rsidP="007A43A7">
      <w:pPr>
        <w:ind w:firstLine="360"/>
      </w:pPr>
      <w:r>
        <w:lastRenderedPageBreak/>
        <w:t>Pokud jde o hor</w:t>
      </w:r>
      <w:r w:rsidR="00D51016">
        <w:t xml:space="preserve">izont dlouhodobý, nabízí se </w:t>
      </w:r>
      <w:r>
        <w:t xml:space="preserve">mnoho potencionálních otázek a koncepčních řešení. </w:t>
      </w:r>
      <w:r w:rsidR="002C7E2B">
        <w:t>Brno</w:t>
      </w:r>
      <w:r w:rsidR="00905FBB">
        <w:t xml:space="preserve"> měl</w:t>
      </w:r>
      <w:r w:rsidR="002C7E2B">
        <w:t>o</w:t>
      </w:r>
      <w:r w:rsidR="00905FBB">
        <w:t xml:space="preserve"> více směřovat k </w:t>
      </w:r>
      <w:r>
        <w:t>fung</w:t>
      </w:r>
      <w:r w:rsidR="00905FBB">
        <w:t>ování</w:t>
      </w:r>
      <w:r>
        <w:t xml:space="preserve"> po vzoru Vídně, či Kodaně v rámci tzv. „</w:t>
      </w:r>
      <w:proofErr w:type="spellStart"/>
      <w:r>
        <w:t>smart</w:t>
      </w:r>
      <w:proofErr w:type="spellEnd"/>
      <w:r>
        <w:t xml:space="preserve"> city“</w:t>
      </w:r>
      <w:r w:rsidR="00905FBB">
        <w:t xml:space="preserve">, </w:t>
      </w:r>
      <w:r w:rsidR="002C7E2B">
        <w:t>podporovat alternativní technologie a využívat obnovitelné zdroje. N</w:t>
      </w:r>
      <w:r w:rsidR="00905FBB">
        <w:t>abízí se vytvoření metropolitního plánu a s ním spojených stavebních předpisů, či dalších možností.</w:t>
      </w:r>
      <w:r>
        <w:t xml:space="preserve"> Pro zlepšení každodenního života občanů Brna a okolních obcí by bylo dobré dále rozvíjet nejen integrovanou hromadnou dopravu, ale i </w:t>
      </w:r>
      <w:r w:rsidR="00347A79">
        <w:t xml:space="preserve">více </w:t>
      </w:r>
      <w:r>
        <w:t xml:space="preserve">spolupracovat na otázkách odpadů, </w:t>
      </w:r>
      <w:r w:rsidR="00347A79">
        <w:t xml:space="preserve">jejich recyklace, tepla, pitné </w:t>
      </w:r>
      <w:r>
        <w:t xml:space="preserve">vody, </w:t>
      </w:r>
      <w:r w:rsidR="00347A79">
        <w:t xml:space="preserve">ale i (dalších) otázek spojených s globálními změnami počasí, jako je např. koncepční ochrana před povodněmi. Taktéž se nabízí otázka dalšího rozšiřování Velkého Brna směrem ke </w:t>
      </w:r>
      <w:proofErr w:type="spellStart"/>
      <w:r w:rsidR="00347A79">
        <w:t>Šlapanicím</w:t>
      </w:r>
      <w:proofErr w:type="spellEnd"/>
      <w:r w:rsidR="00347A79">
        <w:t xml:space="preserve">, Moravanům, či </w:t>
      </w:r>
      <w:proofErr w:type="spellStart"/>
      <w:r w:rsidR="00347A79">
        <w:t>Modřicím</w:t>
      </w:r>
      <w:proofErr w:type="spellEnd"/>
      <w:r w:rsidR="00347A79">
        <w:t xml:space="preserve">, pravděpodobně i spojené s jistým pozměněním městského statutu, či přímo decentralizace, či reorganizace částí, jako je Brno-jih, či Brno-sever. A nejde jen o rozvoj v rámci jižní Moravy, ale přímo regionu střední Evropy dle pojetí </w:t>
      </w:r>
      <w:proofErr w:type="spellStart"/>
      <w:r w:rsidR="00347A79">
        <w:t>Centrope</w:t>
      </w:r>
      <w:proofErr w:type="spellEnd"/>
      <w:r w:rsidR="00347A79">
        <w:t>.</w:t>
      </w:r>
      <w:r w:rsidR="00D51016">
        <w:rPr>
          <w:rStyle w:val="Znakapoznpodarou"/>
        </w:rPr>
        <w:footnoteReference w:id="10"/>
      </w:r>
      <w:r w:rsidR="00347A79">
        <w:t xml:space="preserve"> I přesto, že je budoucnost zmíněné organizace nejistá, je další propojování oblasti mezi Brnem, Bratislavou a Vídní viditelné už dnes. Z našeho pohledu je tato tendence správná a přináší výhody všem – příkladem je využívání vídeňského letiště obyvateli z jižní Moravy, obyvatelé </w:t>
      </w:r>
      <w:r w:rsidR="007149A3">
        <w:t>Bratislavy</w:t>
      </w:r>
      <w:r w:rsidR="00347A79">
        <w:t xml:space="preserve"> nakupující v Rakousku, či </w:t>
      </w:r>
      <w:proofErr w:type="spellStart"/>
      <w:r w:rsidR="00347A79">
        <w:t>Vídeňáci</w:t>
      </w:r>
      <w:proofErr w:type="spellEnd"/>
      <w:r w:rsidR="00347A79">
        <w:t xml:space="preserve"> vlastnící domy na Slovensku. Brno by tak mělo dále spolupracovat s Jihomoravským krajem a podporovat postupné </w:t>
      </w:r>
      <w:r w:rsidR="007149A3">
        <w:t>mizení</w:t>
      </w:r>
      <w:r w:rsidR="00347A79">
        <w:t xml:space="preserve"> hranic</w:t>
      </w:r>
      <w:r w:rsidR="007149A3">
        <w:t xml:space="preserve">. Další důležitou otázkou je i cestovní ruch, turizmus a konferenční průmysl. Ve chvíli, kdy se Brno prakticky nachází mezi třemi turisticky nejnavštěvovanějšími městy regionu – Prahou, Vídní a Budapeští – by mělo pracovat na tom, aby se turisté a cestovatelé během své cesty zastavili i zde. Nejde jen o každoroční akce jako </w:t>
      </w:r>
      <w:proofErr w:type="spellStart"/>
      <w:r w:rsidR="007149A3">
        <w:t>Ignis</w:t>
      </w:r>
      <w:proofErr w:type="spellEnd"/>
      <w:r w:rsidR="007149A3">
        <w:t xml:space="preserve"> </w:t>
      </w:r>
      <w:proofErr w:type="spellStart"/>
      <w:r w:rsidR="007149A3">
        <w:t>Brunensis</w:t>
      </w:r>
      <w:proofErr w:type="spellEnd"/>
      <w:r w:rsidR="007149A3">
        <w:t xml:space="preserve"> v rámci oslav města ve středu Evropy, pravidelných veletrhů a </w:t>
      </w:r>
      <w:r w:rsidR="00F67233">
        <w:t xml:space="preserve">výstav BVV, </w:t>
      </w:r>
      <w:r w:rsidR="007149A3">
        <w:t xml:space="preserve">či navrhovaná každoroční oslava výhry nad Švédy, ale koncepční vytvoření obrazu města, kde stojí za to se zastavit. Nabídnout program na omezený čas, připravený na míru nejen projíždějícím. Město Brno za poslední roky udělalo v této otázce obrovský kus cesty vpřed, čeká jej však další dlouhá práce na zvětšení kapacity památek, sjednocení cen zajímavých turistických atrakcí v rámci regionu, </w:t>
      </w:r>
      <w:r w:rsidR="00F67233">
        <w:t xml:space="preserve">nebo </w:t>
      </w:r>
      <w:r w:rsidR="007149A3">
        <w:t>prezentace toho nejlepšího co Brno v rámci jižní Moravy nabízí (kultura, jídlo, víno, památky, příroda…)</w:t>
      </w:r>
      <w:r w:rsidR="00F67233">
        <w:t>.</w:t>
      </w:r>
      <w:r w:rsidR="00D51016">
        <w:t xml:space="preserve"> </w:t>
      </w:r>
      <w:r w:rsidR="00905FBB">
        <w:t>D</w:t>
      </w:r>
      <w:r w:rsidR="00D51016">
        <w:t xml:space="preserve">ůležitou oblastí, kterou by mělo město Brno (ideálně ve spolupráci s jinými úrovněmi státní správy a samosprávy) řešit, je koncepční přístup k proměňujícímu se složení populace. </w:t>
      </w:r>
      <w:r w:rsidR="00905FBB">
        <w:t>V krátkodobém horizontu j</w:t>
      </w:r>
      <w:r w:rsidR="00D51016">
        <w:t>e nutné se připravit na přesun</w:t>
      </w:r>
      <w:r w:rsidR="00905FBB">
        <w:t>y</w:t>
      </w:r>
      <w:r w:rsidR="00D51016">
        <w:t xml:space="preserve"> dětí ze školek mateřských na školy základní a střední, </w:t>
      </w:r>
      <w:r w:rsidR="00905FBB">
        <w:t xml:space="preserve">v horizontu dlouhodobém pak na postupné stárnutí populace. Je nutné dále dbát na zlepšování </w:t>
      </w:r>
      <w:r w:rsidR="00905FBB">
        <w:lastRenderedPageBreak/>
        <w:t>bezbariérovosti veřejného prostoru a veřejné dopravy, stejně jako přizpůsobování infrastruktury, institucí i sociálních programů pomáhající nejen seniorům.</w:t>
      </w:r>
    </w:p>
    <w:p w:rsidR="007859ED" w:rsidRPr="0071520F" w:rsidRDefault="005B0ADF" w:rsidP="007A43A7">
      <w:pPr>
        <w:ind w:firstLine="360"/>
      </w:pPr>
      <w:r w:rsidRPr="0071520F">
        <w:t xml:space="preserve">Na závěr </w:t>
      </w:r>
      <w:r w:rsidR="00F67233">
        <w:t xml:space="preserve">celého textu </w:t>
      </w:r>
      <w:r w:rsidRPr="0071520F">
        <w:t>bychom taktéž rádi doporučili, aby byla součástí Strategie pro Brno do budoucna i její pravidelná evaluace</w:t>
      </w:r>
      <w:r w:rsidR="00CF5F29">
        <w:t>,</w:t>
      </w:r>
      <w:r w:rsidRPr="0071520F">
        <w:t xml:space="preserve"> spojená nejen s výše zmíněnými </w:t>
      </w:r>
      <w:r w:rsidR="00CF5F29">
        <w:t>třemi (+ jedním) zdroji financování</w:t>
      </w:r>
      <w:r w:rsidRPr="0071520F">
        <w:t>, ale vzhledem k možnostem MMB i s</w:t>
      </w:r>
      <w:r w:rsidR="00CF5F29">
        <w:t xml:space="preserve"> možnostmi</w:t>
      </w:r>
      <w:r w:rsidRPr="0071520F">
        <w:t xml:space="preserve"> dalšími, jako je financování skrze státní úroveň a různá ministerstva. Město Brno by si mělo svůj strategický rozvoj hlídat na všech úrovních a pravidelně. Analýza jako tato totiž nemůže se všemi svými omezeními obsáhnout dynamiku, rozvoj a politické, sociální i další změny během dlouhých sedmi let.</w:t>
      </w:r>
    </w:p>
    <w:sectPr w:rsidR="007859ED" w:rsidRPr="0071520F" w:rsidSect="00E65CC7">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90" w:rsidRDefault="00F47D90" w:rsidP="000F40B1">
      <w:r>
        <w:separator/>
      </w:r>
    </w:p>
  </w:endnote>
  <w:endnote w:type="continuationSeparator" w:id="0">
    <w:p w:rsidR="00F47D90" w:rsidRDefault="00F47D90" w:rsidP="000F4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95411"/>
      <w:docPartObj>
        <w:docPartGallery w:val="Page Numbers (Bottom of Page)"/>
        <w:docPartUnique/>
      </w:docPartObj>
    </w:sdtPr>
    <w:sdtContent>
      <w:p w:rsidR="00F67233" w:rsidRDefault="001776F9">
        <w:pPr>
          <w:pStyle w:val="Zpat"/>
          <w:jc w:val="center"/>
        </w:pPr>
        <w:fldSimple w:instr=" PAGE   \* MERGEFORMAT ">
          <w:r w:rsidR="003A5C4E">
            <w:rPr>
              <w:noProof/>
            </w:rPr>
            <w:t>2</w:t>
          </w:r>
        </w:fldSimple>
      </w:p>
    </w:sdtContent>
  </w:sdt>
  <w:p w:rsidR="00F67233" w:rsidRDefault="00F672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90" w:rsidRDefault="00F47D90" w:rsidP="000F40B1">
      <w:r>
        <w:separator/>
      </w:r>
    </w:p>
  </w:footnote>
  <w:footnote w:type="continuationSeparator" w:id="0">
    <w:p w:rsidR="00F47D90" w:rsidRDefault="00F47D90" w:rsidP="000F40B1">
      <w:r>
        <w:continuationSeparator/>
      </w:r>
    </w:p>
  </w:footnote>
  <w:footnote w:id="1">
    <w:p w:rsidR="00F67233" w:rsidRPr="000F40B1" w:rsidRDefault="00F67233" w:rsidP="006107C3">
      <w:pPr>
        <w:pStyle w:val="Textpoznpodarou"/>
        <w:jc w:val="left"/>
      </w:pPr>
      <w:r>
        <w:rPr>
          <w:rStyle w:val="Znakapoznpodarou"/>
        </w:rPr>
        <w:footnoteRef/>
      </w:r>
      <w:r>
        <w:t xml:space="preserve"> </w:t>
      </w:r>
      <w:r w:rsidRPr="000F40B1">
        <w:t>http://www.risy.cz/cs/vyhledavace/projekty-eu?nazevProjektu=&amp;cisloProjektu=&amp;popis=&amp;typProgramu=5&amp;nazevProgramu=OP+V%C3%BDzkum+a+v%C3%BDvoj+pro+inovace&amp;zadatel=&amp;ic=&amp;typNuts=3&amp;nuts2=&amp;krajNuts=&amp;okresNuts=CZ0642&amp;obecNazev=&amp;obecNazevHidden=</w:t>
      </w:r>
    </w:p>
  </w:footnote>
  <w:footnote w:id="2">
    <w:p w:rsidR="00F67233" w:rsidRPr="007218BE" w:rsidRDefault="00F67233">
      <w:pPr>
        <w:pStyle w:val="Textpoznpodarou"/>
      </w:pPr>
      <w:r>
        <w:rPr>
          <w:rStyle w:val="Znakapoznpodarou"/>
        </w:rPr>
        <w:footnoteRef/>
      </w:r>
      <w:r>
        <w:t xml:space="preserve"> </w:t>
      </w:r>
      <w:r w:rsidRPr="007218BE">
        <w:t>http://www.zoobrno.cz/img/old/cs/o-nas/strategie/strategie/_files/strategie.pdf</w:t>
      </w:r>
    </w:p>
  </w:footnote>
  <w:footnote w:id="3">
    <w:p w:rsidR="00F67233" w:rsidRDefault="00F67233" w:rsidP="005A491C">
      <w:pPr>
        <w:pStyle w:val="Textpoznpodarou"/>
        <w:jc w:val="left"/>
      </w:pPr>
      <w:r>
        <w:rPr>
          <w:rStyle w:val="Znakapoznpodarou"/>
        </w:rPr>
        <w:footnoteRef/>
      </w:r>
      <w:r>
        <w:t xml:space="preserve"> </w:t>
      </w:r>
      <w:r w:rsidRPr="005A491C">
        <w:t>http://www.ohlzs.cz/no_cache/aktualne/v-brne-pribylo-38-km-kanalizace/</w:t>
      </w:r>
    </w:p>
  </w:footnote>
  <w:footnote w:id="4">
    <w:p w:rsidR="00F67233" w:rsidRDefault="00F67233" w:rsidP="005A491C">
      <w:pPr>
        <w:pStyle w:val="Textpoznpodarou"/>
        <w:jc w:val="left"/>
      </w:pPr>
      <w:r>
        <w:rPr>
          <w:rStyle w:val="Znakapoznpodarou"/>
        </w:rPr>
        <w:footnoteRef/>
      </w:r>
      <w:r>
        <w:t xml:space="preserve"> </w:t>
      </w:r>
      <w:r w:rsidRPr="003E6D04">
        <w:t>http://www.ceskatelevize.cz/ct24/regiony/jihomoravsky-kraj/87481-brno-se-zadluzi-pujci-si-3-miliardy-korun/</w:t>
      </w:r>
      <w:r>
        <w:t xml:space="preserve"> </w:t>
      </w:r>
    </w:p>
  </w:footnote>
  <w:footnote w:id="5">
    <w:p w:rsidR="00F67233" w:rsidRDefault="00F67233" w:rsidP="005A491C">
      <w:pPr>
        <w:pStyle w:val="Textpoznpodarou"/>
        <w:jc w:val="left"/>
      </w:pPr>
      <w:r>
        <w:rPr>
          <w:rStyle w:val="Znakapoznpodarou"/>
        </w:rPr>
        <w:footnoteRef/>
      </w:r>
      <w:r>
        <w:t xml:space="preserve"> </w:t>
      </w:r>
      <w:r w:rsidRPr="003E6D04">
        <w:t>http://brno.idnes.cz/v-brne-zacne-oprava-kanalizace-projekt-spolkne-dve-miliardy-korun-1cc-/brno-zpravy.aspx?c=A120221_1736198_brno-zpravy_bor</w:t>
      </w:r>
      <w:r>
        <w:t xml:space="preserve">  </w:t>
      </w:r>
    </w:p>
  </w:footnote>
  <w:footnote w:id="6">
    <w:p w:rsidR="00F67233" w:rsidRDefault="00F67233" w:rsidP="005A491C">
      <w:pPr>
        <w:pStyle w:val="Textpoznpodarou"/>
        <w:jc w:val="left"/>
      </w:pPr>
      <w:r>
        <w:rPr>
          <w:rStyle w:val="Znakapoznpodarou"/>
        </w:rPr>
        <w:footnoteRef/>
      </w:r>
      <w:r>
        <w:t xml:space="preserve"> </w:t>
      </w:r>
      <w:r w:rsidRPr="003E6D04">
        <w:t>http://www.ceskatelevize.cz/zpravodajstvi-brno/zpravy/263110-prispevkove-organizace-brna-preckaly-dva-roky-uspor/</w:t>
      </w:r>
    </w:p>
  </w:footnote>
  <w:footnote w:id="7">
    <w:p w:rsidR="00F67233" w:rsidRDefault="00F67233" w:rsidP="005A491C">
      <w:pPr>
        <w:pStyle w:val="Textpoznpodarou"/>
        <w:jc w:val="left"/>
      </w:pPr>
      <w:r>
        <w:rPr>
          <w:rStyle w:val="Znakapoznpodarou"/>
        </w:rPr>
        <w:footnoteRef/>
      </w:r>
      <w:r>
        <w:t xml:space="preserve"> </w:t>
      </w:r>
      <w:r w:rsidRPr="003E6D04">
        <w:t>http://brnensky.denik.cz/zpravy_region/prispevkove-organizace-ziskaji-o-petinu-mene-dotac.html</w:t>
      </w:r>
    </w:p>
  </w:footnote>
  <w:footnote w:id="8">
    <w:p w:rsidR="00F67233" w:rsidRDefault="00F67233" w:rsidP="005E73E7">
      <w:pPr>
        <w:pStyle w:val="Textpoznpodarou"/>
      </w:pPr>
      <w:r>
        <w:rPr>
          <w:rStyle w:val="Znakapoznpodarou"/>
        </w:rPr>
        <w:footnoteRef/>
      </w:r>
      <w:r>
        <w:t xml:space="preserve"> </w:t>
      </w:r>
      <w:r w:rsidRPr="005E73E7">
        <w:t>http://www.risy.cz/cs/vyhledavace/projekty-eu/detail?id=61335</w:t>
      </w:r>
    </w:p>
  </w:footnote>
  <w:footnote w:id="9">
    <w:p w:rsidR="00F67233" w:rsidRDefault="00F67233">
      <w:pPr>
        <w:pStyle w:val="Textpoznpodarou"/>
      </w:pPr>
      <w:r>
        <w:rPr>
          <w:rStyle w:val="Znakapoznpodarou"/>
        </w:rPr>
        <w:footnoteRef/>
      </w:r>
      <w:r>
        <w:t xml:space="preserve"> Ve chvíli soudně zrušených Zásad rozvoje JMK, k soudu mířící Aktualizac</w:t>
      </w:r>
      <w:r w:rsidR="00D51016">
        <w:t>i</w:t>
      </w:r>
      <w:r>
        <w:t xml:space="preserve"> </w:t>
      </w:r>
      <w:proofErr w:type="spellStart"/>
      <w:r>
        <w:t>ÚPmB</w:t>
      </w:r>
      <w:proofErr w:type="spellEnd"/>
      <w:r>
        <w:t>, nedořešených sporů ohledně polohy brněnského nádraží a c</w:t>
      </w:r>
      <w:r w:rsidRPr="00896E63">
        <w:t xml:space="preserve">hráněných území </w:t>
      </w:r>
      <w:r>
        <w:t>i</w:t>
      </w:r>
      <w:r w:rsidRPr="00896E63">
        <w:t xml:space="preserve"> ekologicky významných k</w:t>
      </w:r>
      <w:r>
        <w:t xml:space="preserve">rajinných prvků na trase plánované dálnice R43, je pravděpodobně otázka rozvoje řešitelná až v delším časovém období. </w:t>
      </w:r>
    </w:p>
  </w:footnote>
  <w:footnote w:id="10">
    <w:p w:rsidR="00D51016" w:rsidRDefault="00D51016" w:rsidP="00D51016">
      <w:pPr>
        <w:pStyle w:val="Textpoznpodarou"/>
      </w:pPr>
      <w:r>
        <w:rPr>
          <w:rStyle w:val="Znakapoznpodarou"/>
        </w:rPr>
        <w:footnoteRef/>
      </w:r>
      <w:r>
        <w:t xml:space="preserve"> </w:t>
      </w:r>
      <w:r w:rsidRPr="00347A79">
        <w:t>http://www.centrope.com/cz/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F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1513D"/>
    <w:multiLevelType w:val="hybridMultilevel"/>
    <w:tmpl w:val="E4AE807A"/>
    <w:lvl w:ilvl="0" w:tplc="6A56049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B1A186A"/>
    <w:multiLevelType w:val="hybridMultilevel"/>
    <w:tmpl w:val="873EFA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4566E6D"/>
    <w:multiLevelType w:val="multilevel"/>
    <w:tmpl w:val="94DEB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4C02B56"/>
    <w:multiLevelType w:val="hybridMultilevel"/>
    <w:tmpl w:val="46F0E6D8"/>
    <w:lvl w:ilvl="0" w:tplc="04050011">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706154"/>
    <w:multiLevelType w:val="hybridMultilevel"/>
    <w:tmpl w:val="C77C8BCA"/>
    <w:lvl w:ilvl="0" w:tplc="94C6F7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3E2D1747"/>
    <w:multiLevelType w:val="hybridMultilevel"/>
    <w:tmpl w:val="142C63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083D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367C70"/>
    <w:multiLevelType w:val="hybridMultilevel"/>
    <w:tmpl w:val="F836FBFC"/>
    <w:lvl w:ilvl="0" w:tplc="C24453D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47386A40"/>
    <w:multiLevelType w:val="hybridMultilevel"/>
    <w:tmpl w:val="007030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792B93"/>
    <w:multiLevelType w:val="hybridMultilevel"/>
    <w:tmpl w:val="F8E652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A248CA"/>
    <w:multiLevelType w:val="hybridMultilevel"/>
    <w:tmpl w:val="CB5C0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F86BCA"/>
    <w:multiLevelType w:val="multilevel"/>
    <w:tmpl w:val="94DEB6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52B71043"/>
    <w:multiLevelType w:val="hybridMultilevel"/>
    <w:tmpl w:val="A86E2BE6"/>
    <w:lvl w:ilvl="0" w:tplc="98EE772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39F489A"/>
    <w:multiLevelType w:val="hybridMultilevel"/>
    <w:tmpl w:val="E7BEE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58038A"/>
    <w:multiLevelType w:val="hybridMultilevel"/>
    <w:tmpl w:val="6FDCDBD2"/>
    <w:lvl w:ilvl="0" w:tplc="88D833D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BA562D7"/>
    <w:multiLevelType w:val="hybridMultilevel"/>
    <w:tmpl w:val="D84EC01C"/>
    <w:lvl w:ilvl="0" w:tplc="EA1E18B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nsid w:val="6C5D6E1E"/>
    <w:multiLevelType w:val="hybridMultilevel"/>
    <w:tmpl w:val="D10A2C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B374D74"/>
    <w:multiLevelType w:val="multilevel"/>
    <w:tmpl w:val="5472300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F61951"/>
    <w:multiLevelType w:val="hybridMultilevel"/>
    <w:tmpl w:val="8B386E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7"/>
  </w:num>
  <w:num w:numId="4">
    <w:abstractNumId w:val="10"/>
  </w:num>
  <w:num w:numId="5">
    <w:abstractNumId w:val="12"/>
  </w:num>
  <w:num w:numId="6">
    <w:abstractNumId w:val="19"/>
  </w:num>
  <w:num w:numId="7">
    <w:abstractNumId w:val="6"/>
  </w:num>
  <w:num w:numId="8">
    <w:abstractNumId w:val="1"/>
  </w:num>
  <w:num w:numId="9">
    <w:abstractNumId w:val="9"/>
  </w:num>
  <w:num w:numId="10">
    <w:abstractNumId w:val="16"/>
  </w:num>
  <w:num w:numId="11">
    <w:abstractNumId w:val="15"/>
  </w:num>
  <w:num w:numId="12">
    <w:abstractNumId w:val="8"/>
  </w:num>
  <w:num w:numId="13">
    <w:abstractNumId w:val="13"/>
  </w:num>
  <w:num w:numId="14">
    <w:abstractNumId w:val="5"/>
  </w:num>
  <w:num w:numId="15">
    <w:abstractNumId w:val="17"/>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357AE"/>
    <w:rsid w:val="00012851"/>
    <w:rsid w:val="00036FE2"/>
    <w:rsid w:val="0004035E"/>
    <w:rsid w:val="00060457"/>
    <w:rsid w:val="000E2DAB"/>
    <w:rsid w:val="000F40B1"/>
    <w:rsid w:val="001108F1"/>
    <w:rsid w:val="00113DD2"/>
    <w:rsid w:val="00120A97"/>
    <w:rsid w:val="0013182A"/>
    <w:rsid w:val="00156DBB"/>
    <w:rsid w:val="001770F1"/>
    <w:rsid w:val="001776F9"/>
    <w:rsid w:val="001D07C7"/>
    <w:rsid w:val="001D17E9"/>
    <w:rsid w:val="002107FC"/>
    <w:rsid w:val="00232E93"/>
    <w:rsid w:val="00242E8A"/>
    <w:rsid w:val="0024625E"/>
    <w:rsid w:val="00246DC4"/>
    <w:rsid w:val="00262E6B"/>
    <w:rsid w:val="00295175"/>
    <w:rsid w:val="002C7E2B"/>
    <w:rsid w:val="003357AE"/>
    <w:rsid w:val="00346B70"/>
    <w:rsid w:val="00347A79"/>
    <w:rsid w:val="00362BB9"/>
    <w:rsid w:val="00371D98"/>
    <w:rsid w:val="003A4E29"/>
    <w:rsid w:val="003A5C4E"/>
    <w:rsid w:val="003B34B0"/>
    <w:rsid w:val="003D5CC3"/>
    <w:rsid w:val="003E6D04"/>
    <w:rsid w:val="003F19F3"/>
    <w:rsid w:val="00432FEE"/>
    <w:rsid w:val="00450810"/>
    <w:rsid w:val="004D4F0D"/>
    <w:rsid w:val="00514BBB"/>
    <w:rsid w:val="00520369"/>
    <w:rsid w:val="00522CE5"/>
    <w:rsid w:val="005361C3"/>
    <w:rsid w:val="00542E73"/>
    <w:rsid w:val="00561B19"/>
    <w:rsid w:val="005649FE"/>
    <w:rsid w:val="00574282"/>
    <w:rsid w:val="00581CD3"/>
    <w:rsid w:val="005A3647"/>
    <w:rsid w:val="005A491C"/>
    <w:rsid w:val="005B0ADF"/>
    <w:rsid w:val="005C3CBE"/>
    <w:rsid w:val="005E73E7"/>
    <w:rsid w:val="006107C3"/>
    <w:rsid w:val="00655C56"/>
    <w:rsid w:val="00680A84"/>
    <w:rsid w:val="006D722A"/>
    <w:rsid w:val="006E2678"/>
    <w:rsid w:val="006F2E12"/>
    <w:rsid w:val="006F3878"/>
    <w:rsid w:val="007149A3"/>
    <w:rsid w:val="0071520F"/>
    <w:rsid w:val="007218BE"/>
    <w:rsid w:val="007316FA"/>
    <w:rsid w:val="007859ED"/>
    <w:rsid w:val="007A3E61"/>
    <w:rsid w:val="007A43A7"/>
    <w:rsid w:val="007B26C8"/>
    <w:rsid w:val="007D04B6"/>
    <w:rsid w:val="007F42AC"/>
    <w:rsid w:val="008144DD"/>
    <w:rsid w:val="008544CE"/>
    <w:rsid w:val="008717E7"/>
    <w:rsid w:val="00896E63"/>
    <w:rsid w:val="008A4461"/>
    <w:rsid w:val="008B2EFD"/>
    <w:rsid w:val="008D4327"/>
    <w:rsid w:val="008E4ED7"/>
    <w:rsid w:val="00905FBB"/>
    <w:rsid w:val="0093365F"/>
    <w:rsid w:val="00942654"/>
    <w:rsid w:val="009913C7"/>
    <w:rsid w:val="009D0F60"/>
    <w:rsid w:val="009D3014"/>
    <w:rsid w:val="009F781E"/>
    <w:rsid w:val="00A35F3B"/>
    <w:rsid w:val="00A57BCD"/>
    <w:rsid w:val="00A7061C"/>
    <w:rsid w:val="00AB121D"/>
    <w:rsid w:val="00B86DFF"/>
    <w:rsid w:val="00BA0D11"/>
    <w:rsid w:val="00BA2E16"/>
    <w:rsid w:val="00BD08E1"/>
    <w:rsid w:val="00BD7DAE"/>
    <w:rsid w:val="00BE2C69"/>
    <w:rsid w:val="00C029A4"/>
    <w:rsid w:val="00C062D1"/>
    <w:rsid w:val="00C31AEE"/>
    <w:rsid w:val="00C60A58"/>
    <w:rsid w:val="00CA279A"/>
    <w:rsid w:val="00CA40F3"/>
    <w:rsid w:val="00CB0C96"/>
    <w:rsid w:val="00CF5F29"/>
    <w:rsid w:val="00D055BC"/>
    <w:rsid w:val="00D21272"/>
    <w:rsid w:val="00D40529"/>
    <w:rsid w:val="00D51016"/>
    <w:rsid w:val="00D56EF6"/>
    <w:rsid w:val="00DB1686"/>
    <w:rsid w:val="00E23DAD"/>
    <w:rsid w:val="00E65CC7"/>
    <w:rsid w:val="00F47D90"/>
    <w:rsid w:val="00F67233"/>
    <w:rsid w:val="00FC459D"/>
    <w:rsid w:val="00FF69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16FA"/>
    <w:pPr>
      <w:spacing w:after="0" w:line="360" w:lineRule="auto"/>
      <w:jc w:val="both"/>
    </w:pPr>
    <w:rPr>
      <w:rFonts w:ascii="Times New Roman" w:hAnsi="Times New Roman"/>
      <w:sz w:val="24"/>
      <w:szCs w:val="24"/>
      <w:lang w:val="cs-CZ"/>
    </w:rPr>
  </w:style>
  <w:style w:type="paragraph" w:styleId="Nadpis1">
    <w:name w:val="heading 1"/>
    <w:basedOn w:val="Normln"/>
    <w:next w:val="Normln"/>
    <w:link w:val="Nadpis1Char"/>
    <w:uiPriority w:val="9"/>
    <w:qFormat/>
    <w:rsid w:val="00FC459D"/>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3A4E29"/>
    <w:pPr>
      <w:keepNext/>
      <w:spacing w:before="240" w:after="24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6E2678"/>
    <w:pPr>
      <w:keepNext/>
      <w:spacing w:before="240" w:after="60"/>
      <w:outlineLvl w:val="2"/>
    </w:pPr>
    <w:rPr>
      <w:rFonts w:asciiTheme="majorHAnsi" w:eastAsiaTheme="majorEastAsia" w:hAnsiTheme="majorHAnsi"/>
      <w:b/>
      <w:bCs/>
      <w:sz w:val="28"/>
      <w:szCs w:val="26"/>
    </w:rPr>
  </w:style>
  <w:style w:type="paragraph" w:styleId="Nadpis4">
    <w:name w:val="heading 4"/>
    <w:basedOn w:val="Normln"/>
    <w:next w:val="Normln"/>
    <w:link w:val="Nadpis4Char"/>
    <w:uiPriority w:val="9"/>
    <w:unhideWhenUsed/>
    <w:qFormat/>
    <w:rsid w:val="00E65CC7"/>
    <w:pPr>
      <w:keepNext/>
      <w:spacing w:before="120" w:after="60"/>
      <w:outlineLvl w:val="3"/>
    </w:pPr>
    <w:rPr>
      <w:b/>
      <w:bCs/>
      <w:szCs w:val="28"/>
    </w:rPr>
  </w:style>
  <w:style w:type="paragraph" w:styleId="Nadpis5">
    <w:name w:val="heading 5"/>
    <w:basedOn w:val="Normln"/>
    <w:next w:val="Normln"/>
    <w:link w:val="Nadpis5Char"/>
    <w:uiPriority w:val="9"/>
    <w:semiHidden/>
    <w:unhideWhenUsed/>
    <w:qFormat/>
    <w:rsid w:val="00FC459D"/>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FC459D"/>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FC459D"/>
    <w:pPr>
      <w:spacing w:before="240" w:after="60"/>
      <w:outlineLvl w:val="6"/>
    </w:pPr>
  </w:style>
  <w:style w:type="paragraph" w:styleId="Nadpis8">
    <w:name w:val="heading 8"/>
    <w:basedOn w:val="Normln"/>
    <w:next w:val="Normln"/>
    <w:link w:val="Nadpis8Char"/>
    <w:uiPriority w:val="9"/>
    <w:semiHidden/>
    <w:unhideWhenUsed/>
    <w:qFormat/>
    <w:rsid w:val="00FC459D"/>
    <w:pPr>
      <w:spacing w:before="240" w:after="60"/>
      <w:outlineLvl w:val="7"/>
    </w:pPr>
    <w:rPr>
      <w:i/>
      <w:iCs/>
    </w:rPr>
  </w:style>
  <w:style w:type="paragraph" w:styleId="Nadpis9">
    <w:name w:val="heading 9"/>
    <w:basedOn w:val="Normln"/>
    <w:next w:val="Normln"/>
    <w:link w:val="Nadpis9Char"/>
    <w:uiPriority w:val="9"/>
    <w:semiHidden/>
    <w:unhideWhenUsed/>
    <w:qFormat/>
    <w:rsid w:val="00FC459D"/>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C459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FC459D"/>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FC459D"/>
    <w:pPr>
      <w:ind w:left="720"/>
      <w:contextualSpacing/>
    </w:pPr>
  </w:style>
  <w:style w:type="paragraph" w:styleId="Textbubliny">
    <w:name w:val="Balloon Text"/>
    <w:basedOn w:val="Normln"/>
    <w:link w:val="TextbublinyChar"/>
    <w:uiPriority w:val="99"/>
    <w:semiHidden/>
    <w:unhideWhenUsed/>
    <w:rsid w:val="00FC459D"/>
    <w:rPr>
      <w:rFonts w:ascii="Tahoma" w:hAnsi="Tahoma" w:cs="Tahoma"/>
      <w:sz w:val="16"/>
      <w:szCs w:val="16"/>
    </w:rPr>
  </w:style>
  <w:style w:type="character" w:customStyle="1" w:styleId="TextbublinyChar">
    <w:name w:val="Text bubliny Char"/>
    <w:basedOn w:val="Standardnpsmoodstavce"/>
    <w:link w:val="Textbubliny"/>
    <w:uiPriority w:val="99"/>
    <w:semiHidden/>
    <w:rsid w:val="00FC459D"/>
    <w:rPr>
      <w:rFonts w:ascii="Tahoma" w:hAnsi="Tahoma" w:cs="Tahoma"/>
      <w:sz w:val="16"/>
      <w:szCs w:val="16"/>
    </w:rPr>
  </w:style>
  <w:style w:type="character" w:customStyle="1" w:styleId="Nadpis1Char">
    <w:name w:val="Nadpis 1 Char"/>
    <w:basedOn w:val="Standardnpsmoodstavce"/>
    <w:link w:val="Nadpis1"/>
    <w:uiPriority w:val="9"/>
    <w:rsid w:val="00FC459D"/>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3A4E29"/>
    <w:rPr>
      <w:rFonts w:asciiTheme="majorHAnsi" w:eastAsiaTheme="majorEastAsia" w:hAnsiTheme="majorHAnsi"/>
      <w:b/>
      <w:bCs/>
      <w:i/>
      <w:iCs/>
      <w:sz w:val="28"/>
      <w:szCs w:val="28"/>
      <w:lang w:val="cs-CZ"/>
    </w:rPr>
  </w:style>
  <w:style w:type="character" w:customStyle="1" w:styleId="Nadpis3Char">
    <w:name w:val="Nadpis 3 Char"/>
    <w:basedOn w:val="Standardnpsmoodstavce"/>
    <w:link w:val="Nadpis3"/>
    <w:uiPriority w:val="9"/>
    <w:rsid w:val="006E2678"/>
    <w:rPr>
      <w:rFonts w:asciiTheme="majorHAnsi" w:eastAsiaTheme="majorEastAsia" w:hAnsiTheme="majorHAnsi"/>
      <w:b/>
      <w:bCs/>
      <w:sz w:val="28"/>
      <w:szCs w:val="26"/>
      <w:lang w:val="cs-CZ"/>
    </w:rPr>
  </w:style>
  <w:style w:type="character" w:customStyle="1" w:styleId="Nadpis4Char">
    <w:name w:val="Nadpis 4 Char"/>
    <w:basedOn w:val="Standardnpsmoodstavce"/>
    <w:link w:val="Nadpis4"/>
    <w:uiPriority w:val="9"/>
    <w:rsid w:val="00E65CC7"/>
    <w:rPr>
      <w:rFonts w:ascii="Times New Roman" w:hAnsi="Times New Roman"/>
      <w:b/>
      <w:bCs/>
      <w:sz w:val="24"/>
      <w:szCs w:val="28"/>
      <w:lang w:val="cs-CZ"/>
    </w:rPr>
  </w:style>
  <w:style w:type="character" w:customStyle="1" w:styleId="Nadpis5Char">
    <w:name w:val="Nadpis 5 Char"/>
    <w:basedOn w:val="Standardnpsmoodstavce"/>
    <w:link w:val="Nadpis5"/>
    <w:uiPriority w:val="9"/>
    <w:semiHidden/>
    <w:rsid w:val="00FC459D"/>
    <w:rPr>
      <w:b/>
      <w:bCs/>
      <w:i/>
      <w:iCs/>
      <w:sz w:val="26"/>
      <w:szCs w:val="26"/>
    </w:rPr>
  </w:style>
  <w:style w:type="character" w:customStyle="1" w:styleId="Nadpis6Char">
    <w:name w:val="Nadpis 6 Char"/>
    <w:basedOn w:val="Standardnpsmoodstavce"/>
    <w:link w:val="Nadpis6"/>
    <w:uiPriority w:val="9"/>
    <w:semiHidden/>
    <w:rsid w:val="00FC459D"/>
    <w:rPr>
      <w:b/>
      <w:bCs/>
    </w:rPr>
  </w:style>
  <w:style w:type="character" w:customStyle="1" w:styleId="Nadpis7Char">
    <w:name w:val="Nadpis 7 Char"/>
    <w:basedOn w:val="Standardnpsmoodstavce"/>
    <w:link w:val="Nadpis7"/>
    <w:uiPriority w:val="9"/>
    <w:semiHidden/>
    <w:rsid w:val="00FC459D"/>
    <w:rPr>
      <w:sz w:val="24"/>
      <w:szCs w:val="24"/>
    </w:rPr>
  </w:style>
  <w:style w:type="character" w:customStyle="1" w:styleId="Nadpis8Char">
    <w:name w:val="Nadpis 8 Char"/>
    <w:basedOn w:val="Standardnpsmoodstavce"/>
    <w:link w:val="Nadpis8"/>
    <w:uiPriority w:val="9"/>
    <w:semiHidden/>
    <w:rsid w:val="00FC459D"/>
    <w:rPr>
      <w:i/>
      <w:iCs/>
      <w:sz w:val="24"/>
      <w:szCs w:val="24"/>
    </w:rPr>
  </w:style>
  <w:style w:type="character" w:customStyle="1" w:styleId="Nadpis9Char">
    <w:name w:val="Nadpis 9 Char"/>
    <w:basedOn w:val="Standardnpsmoodstavce"/>
    <w:link w:val="Nadpis9"/>
    <w:uiPriority w:val="9"/>
    <w:semiHidden/>
    <w:rsid w:val="00FC459D"/>
    <w:rPr>
      <w:rFonts w:asciiTheme="majorHAnsi" w:eastAsiaTheme="majorEastAsia" w:hAnsiTheme="majorHAnsi"/>
    </w:rPr>
  </w:style>
  <w:style w:type="paragraph" w:styleId="Podtitul">
    <w:name w:val="Subtitle"/>
    <w:basedOn w:val="Normln"/>
    <w:next w:val="Normln"/>
    <w:link w:val="PodtitulChar"/>
    <w:uiPriority w:val="11"/>
    <w:qFormat/>
    <w:rsid w:val="00FC459D"/>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FC459D"/>
    <w:rPr>
      <w:rFonts w:asciiTheme="majorHAnsi" w:eastAsiaTheme="majorEastAsia" w:hAnsiTheme="majorHAnsi"/>
      <w:sz w:val="24"/>
      <w:szCs w:val="24"/>
    </w:rPr>
  </w:style>
  <w:style w:type="character" w:styleId="Siln">
    <w:name w:val="Strong"/>
    <w:basedOn w:val="Standardnpsmoodstavce"/>
    <w:uiPriority w:val="22"/>
    <w:qFormat/>
    <w:rsid w:val="00FC459D"/>
    <w:rPr>
      <w:b/>
      <w:bCs/>
    </w:rPr>
  </w:style>
  <w:style w:type="character" w:styleId="Zvraznn">
    <w:name w:val="Emphasis"/>
    <w:basedOn w:val="Standardnpsmoodstavce"/>
    <w:uiPriority w:val="20"/>
    <w:qFormat/>
    <w:rsid w:val="00FC459D"/>
    <w:rPr>
      <w:rFonts w:asciiTheme="minorHAnsi" w:hAnsiTheme="minorHAnsi"/>
      <w:b/>
      <w:i/>
      <w:iCs/>
    </w:rPr>
  </w:style>
  <w:style w:type="paragraph" w:styleId="Bezmezer">
    <w:name w:val="No Spacing"/>
    <w:basedOn w:val="Normln"/>
    <w:uiPriority w:val="1"/>
    <w:qFormat/>
    <w:rsid w:val="00FC459D"/>
    <w:rPr>
      <w:szCs w:val="32"/>
    </w:rPr>
  </w:style>
  <w:style w:type="paragraph" w:styleId="Citace">
    <w:name w:val="Quote"/>
    <w:basedOn w:val="Normln"/>
    <w:next w:val="Normln"/>
    <w:link w:val="CitaceChar"/>
    <w:uiPriority w:val="29"/>
    <w:qFormat/>
    <w:rsid w:val="00FC459D"/>
    <w:rPr>
      <w:i/>
    </w:rPr>
  </w:style>
  <w:style w:type="character" w:customStyle="1" w:styleId="CitaceChar">
    <w:name w:val="Citace Char"/>
    <w:basedOn w:val="Standardnpsmoodstavce"/>
    <w:link w:val="Citace"/>
    <w:uiPriority w:val="29"/>
    <w:rsid w:val="00FC459D"/>
    <w:rPr>
      <w:i/>
      <w:sz w:val="24"/>
      <w:szCs w:val="24"/>
    </w:rPr>
  </w:style>
  <w:style w:type="paragraph" w:styleId="Citaceintenzivn">
    <w:name w:val="Intense Quote"/>
    <w:basedOn w:val="Normln"/>
    <w:next w:val="Normln"/>
    <w:link w:val="CitaceintenzivnChar"/>
    <w:uiPriority w:val="30"/>
    <w:qFormat/>
    <w:rsid w:val="00FC459D"/>
    <w:pPr>
      <w:ind w:left="720" w:right="720"/>
    </w:pPr>
    <w:rPr>
      <w:b/>
      <w:i/>
      <w:szCs w:val="22"/>
    </w:rPr>
  </w:style>
  <w:style w:type="character" w:customStyle="1" w:styleId="CitaceintenzivnChar">
    <w:name w:val="Citace – intenzivní Char"/>
    <w:basedOn w:val="Standardnpsmoodstavce"/>
    <w:link w:val="Citaceintenzivn"/>
    <w:uiPriority w:val="30"/>
    <w:rsid w:val="00FC459D"/>
    <w:rPr>
      <w:b/>
      <w:i/>
      <w:sz w:val="24"/>
    </w:rPr>
  </w:style>
  <w:style w:type="character" w:styleId="Zdraznnjemn">
    <w:name w:val="Subtle Emphasis"/>
    <w:uiPriority w:val="19"/>
    <w:qFormat/>
    <w:rsid w:val="00FC459D"/>
    <w:rPr>
      <w:i/>
      <w:color w:val="5A5A5A" w:themeColor="text1" w:themeTint="A5"/>
    </w:rPr>
  </w:style>
  <w:style w:type="character" w:styleId="Zdraznnintenzivn">
    <w:name w:val="Intense Emphasis"/>
    <w:basedOn w:val="Standardnpsmoodstavce"/>
    <w:uiPriority w:val="21"/>
    <w:qFormat/>
    <w:rsid w:val="00FC459D"/>
    <w:rPr>
      <w:b/>
      <w:i/>
      <w:sz w:val="24"/>
      <w:szCs w:val="24"/>
      <w:u w:val="single"/>
    </w:rPr>
  </w:style>
  <w:style w:type="character" w:styleId="Odkazjemn">
    <w:name w:val="Subtle Reference"/>
    <w:basedOn w:val="Standardnpsmoodstavce"/>
    <w:uiPriority w:val="31"/>
    <w:qFormat/>
    <w:rsid w:val="00FC459D"/>
    <w:rPr>
      <w:sz w:val="24"/>
      <w:szCs w:val="24"/>
      <w:u w:val="single"/>
    </w:rPr>
  </w:style>
  <w:style w:type="character" w:styleId="Odkazintenzivn">
    <w:name w:val="Intense Reference"/>
    <w:basedOn w:val="Standardnpsmoodstavce"/>
    <w:uiPriority w:val="32"/>
    <w:qFormat/>
    <w:rsid w:val="00FC459D"/>
    <w:rPr>
      <w:b/>
      <w:sz w:val="24"/>
      <w:u w:val="single"/>
    </w:rPr>
  </w:style>
  <w:style w:type="character" w:styleId="Nzevknihy">
    <w:name w:val="Book Title"/>
    <w:basedOn w:val="Standardnpsmoodstavce"/>
    <w:uiPriority w:val="33"/>
    <w:qFormat/>
    <w:rsid w:val="00FC459D"/>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FC459D"/>
    <w:pPr>
      <w:outlineLvl w:val="9"/>
    </w:pPr>
  </w:style>
  <w:style w:type="paragraph" w:styleId="Textpoznpodarou">
    <w:name w:val="footnote text"/>
    <w:basedOn w:val="Normln"/>
    <w:link w:val="TextpoznpodarouChar"/>
    <w:uiPriority w:val="99"/>
    <w:semiHidden/>
    <w:unhideWhenUsed/>
    <w:rsid w:val="000F40B1"/>
    <w:rPr>
      <w:sz w:val="20"/>
      <w:szCs w:val="20"/>
    </w:rPr>
  </w:style>
  <w:style w:type="character" w:customStyle="1" w:styleId="TextpoznpodarouChar">
    <w:name w:val="Text pozn. pod čarou Char"/>
    <w:basedOn w:val="Standardnpsmoodstavce"/>
    <w:link w:val="Textpoznpodarou"/>
    <w:uiPriority w:val="99"/>
    <w:semiHidden/>
    <w:rsid w:val="000F40B1"/>
    <w:rPr>
      <w:sz w:val="20"/>
      <w:szCs w:val="20"/>
    </w:rPr>
  </w:style>
  <w:style w:type="character" w:styleId="Znakapoznpodarou">
    <w:name w:val="footnote reference"/>
    <w:basedOn w:val="Standardnpsmoodstavce"/>
    <w:uiPriority w:val="99"/>
    <w:semiHidden/>
    <w:unhideWhenUsed/>
    <w:rsid w:val="000F40B1"/>
    <w:rPr>
      <w:vertAlign w:val="superscript"/>
    </w:rPr>
  </w:style>
  <w:style w:type="paragraph" w:styleId="Titulek">
    <w:name w:val="caption"/>
    <w:basedOn w:val="Normln"/>
    <w:next w:val="Normln"/>
    <w:uiPriority w:val="35"/>
    <w:unhideWhenUsed/>
    <w:rsid w:val="00FF69A8"/>
    <w:pPr>
      <w:spacing w:after="200"/>
    </w:pPr>
    <w:rPr>
      <w:b/>
      <w:bCs/>
      <w:color w:val="4F81BD" w:themeColor="accent1"/>
      <w:sz w:val="18"/>
      <w:szCs w:val="18"/>
    </w:rPr>
  </w:style>
  <w:style w:type="table" w:styleId="Mkatabulky">
    <w:name w:val="Table Grid"/>
    <w:basedOn w:val="Normlntabulka"/>
    <w:uiPriority w:val="59"/>
    <w:rsid w:val="007A43A7"/>
    <w:pPr>
      <w:spacing w:after="0" w:line="240" w:lineRule="auto"/>
    </w:pPr>
    <w:rPr>
      <w:rFonts w:cstheme="minorBidi"/>
      <w:lang w:val="cs-CZ" w:eastAsia="cs-CZ"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unhideWhenUsed/>
    <w:rsid w:val="00E65CC7"/>
    <w:pPr>
      <w:tabs>
        <w:tab w:val="left" w:pos="480"/>
        <w:tab w:val="right" w:leader="dot" w:pos="9062"/>
      </w:tabs>
      <w:spacing w:after="100"/>
    </w:pPr>
  </w:style>
  <w:style w:type="paragraph" w:styleId="Obsah2">
    <w:name w:val="toc 2"/>
    <w:basedOn w:val="Normln"/>
    <w:next w:val="Normln"/>
    <w:autoRedefine/>
    <w:uiPriority w:val="39"/>
    <w:unhideWhenUsed/>
    <w:rsid w:val="00D56EF6"/>
    <w:pPr>
      <w:tabs>
        <w:tab w:val="left" w:pos="1100"/>
        <w:tab w:val="right" w:leader="dot" w:pos="9062"/>
      </w:tabs>
      <w:spacing w:after="100" w:line="276" w:lineRule="auto"/>
      <w:ind w:left="240"/>
    </w:pPr>
  </w:style>
  <w:style w:type="paragraph" w:styleId="Obsah3">
    <w:name w:val="toc 3"/>
    <w:basedOn w:val="Normln"/>
    <w:next w:val="Normln"/>
    <w:autoRedefine/>
    <w:uiPriority w:val="39"/>
    <w:unhideWhenUsed/>
    <w:rsid w:val="00E65CC7"/>
    <w:pPr>
      <w:spacing w:after="100"/>
      <w:ind w:left="480"/>
    </w:pPr>
  </w:style>
  <w:style w:type="character" w:styleId="Hypertextovodkaz">
    <w:name w:val="Hyperlink"/>
    <w:basedOn w:val="Standardnpsmoodstavce"/>
    <w:uiPriority w:val="99"/>
    <w:unhideWhenUsed/>
    <w:rsid w:val="00E65CC7"/>
    <w:rPr>
      <w:color w:val="0000FF" w:themeColor="hyperlink"/>
      <w:u w:val="single"/>
    </w:rPr>
  </w:style>
  <w:style w:type="paragraph" w:styleId="Zhlav">
    <w:name w:val="header"/>
    <w:basedOn w:val="Normln"/>
    <w:link w:val="ZhlavChar"/>
    <w:uiPriority w:val="99"/>
    <w:semiHidden/>
    <w:unhideWhenUsed/>
    <w:rsid w:val="00E65CC7"/>
    <w:pPr>
      <w:tabs>
        <w:tab w:val="center" w:pos="4536"/>
        <w:tab w:val="right" w:pos="9072"/>
      </w:tabs>
    </w:pPr>
  </w:style>
  <w:style w:type="character" w:customStyle="1" w:styleId="ZhlavChar">
    <w:name w:val="Záhlaví Char"/>
    <w:basedOn w:val="Standardnpsmoodstavce"/>
    <w:link w:val="Zhlav"/>
    <w:uiPriority w:val="99"/>
    <w:semiHidden/>
    <w:rsid w:val="00E65CC7"/>
    <w:rPr>
      <w:rFonts w:ascii="Times New Roman" w:hAnsi="Times New Roman"/>
      <w:sz w:val="24"/>
      <w:szCs w:val="24"/>
      <w:lang w:val="cs-CZ"/>
    </w:rPr>
  </w:style>
  <w:style w:type="paragraph" w:styleId="Zpat">
    <w:name w:val="footer"/>
    <w:basedOn w:val="Normln"/>
    <w:link w:val="ZpatChar"/>
    <w:uiPriority w:val="99"/>
    <w:unhideWhenUsed/>
    <w:rsid w:val="00E65CC7"/>
    <w:pPr>
      <w:tabs>
        <w:tab w:val="center" w:pos="4536"/>
        <w:tab w:val="right" w:pos="9072"/>
      </w:tabs>
    </w:pPr>
  </w:style>
  <w:style w:type="character" w:customStyle="1" w:styleId="ZpatChar">
    <w:name w:val="Zápatí Char"/>
    <w:basedOn w:val="Standardnpsmoodstavce"/>
    <w:link w:val="Zpat"/>
    <w:uiPriority w:val="99"/>
    <w:rsid w:val="00E65CC7"/>
    <w:rPr>
      <w:rFonts w:ascii="Times New Roman" w:hAnsi="Times New Roman"/>
      <w:sz w:val="24"/>
      <w:szCs w:val="24"/>
      <w:lang w:val="cs-CZ"/>
    </w:rPr>
  </w:style>
  <w:style w:type="paragraph" w:styleId="Normlnweb">
    <w:name w:val="Normal (Web)"/>
    <w:basedOn w:val="Normln"/>
    <w:uiPriority w:val="99"/>
    <w:semiHidden/>
    <w:unhideWhenUsed/>
    <w:rsid w:val="0093365F"/>
    <w:pPr>
      <w:spacing w:before="100" w:beforeAutospacing="1" w:after="100" w:afterAutospacing="1" w:line="240" w:lineRule="auto"/>
      <w:jc w:val="left"/>
    </w:pPr>
    <w:rPr>
      <w:rFonts w:eastAsia="Times New Roman"/>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16FA"/>
    <w:pPr>
      <w:spacing w:after="0" w:line="360" w:lineRule="auto"/>
      <w:jc w:val="both"/>
    </w:pPr>
    <w:rPr>
      <w:rFonts w:ascii="Times New Roman" w:hAnsi="Times New Roman"/>
      <w:sz w:val="24"/>
      <w:szCs w:val="24"/>
      <w:lang w:val="cs-CZ"/>
    </w:rPr>
  </w:style>
  <w:style w:type="paragraph" w:styleId="Nadpis1">
    <w:name w:val="heading 1"/>
    <w:basedOn w:val="Normln"/>
    <w:next w:val="Normln"/>
    <w:link w:val="Nadpis1Char"/>
    <w:uiPriority w:val="9"/>
    <w:qFormat/>
    <w:rsid w:val="00FC459D"/>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unhideWhenUsed/>
    <w:qFormat/>
    <w:rsid w:val="003A4E29"/>
    <w:pPr>
      <w:keepNext/>
      <w:spacing w:before="240" w:after="24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6E2678"/>
    <w:pPr>
      <w:keepNext/>
      <w:spacing w:before="240" w:after="60"/>
      <w:outlineLvl w:val="2"/>
    </w:pPr>
    <w:rPr>
      <w:rFonts w:asciiTheme="majorHAnsi" w:eastAsiaTheme="majorEastAsia" w:hAnsiTheme="majorHAnsi"/>
      <w:b/>
      <w:bCs/>
      <w:sz w:val="28"/>
      <w:szCs w:val="26"/>
    </w:rPr>
  </w:style>
  <w:style w:type="paragraph" w:styleId="Nadpis4">
    <w:name w:val="heading 4"/>
    <w:basedOn w:val="Normln"/>
    <w:next w:val="Normln"/>
    <w:link w:val="Nadpis4Char"/>
    <w:uiPriority w:val="9"/>
    <w:unhideWhenUsed/>
    <w:qFormat/>
    <w:rsid w:val="00E65CC7"/>
    <w:pPr>
      <w:keepNext/>
      <w:spacing w:before="120" w:after="60"/>
      <w:outlineLvl w:val="3"/>
    </w:pPr>
    <w:rPr>
      <w:b/>
      <w:bCs/>
      <w:szCs w:val="28"/>
    </w:rPr>
  </w:style>
  <w:style w:type="paragraph" w:styleId="Nadpis5">
    <w:name w:val="heading 5"/>
    <w:basedOn w:val="Normln"/>
    <w:next w:val="Normln"/>
    <w:link w:val="Nadpis5Char"/>
    <w:uiPriority w:val="9"/>
    <w:semiHidden/>
    <w:unhideWhenUsed/>
    <w:qFormat/>
    <w:rsid w:val="00FC459D"/>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FC459D"/>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FC459D"/>
    <w:pPr>
      <w:spacing w:before="240" w:after="60"/>
      <w:outlineLvl w:val="6"/>
    </w:pPr>
  </w:style>
  <w:style w:type="paragraph" w:styleId="Nadpis8">
    <w:name w:val="heading 8"/>
    <w:basedOn w:val="Normln"/>
    <w:next w:val="Normln"/>
    <w:link w:val="Nadpis8Char"/>
    <w:uiPriority w:val="9"/>
    <w:semiHidden/>
    <w:unhideWhenUsed/>
    <w:qFormat/>
    <w:rsid w:val="00FC459D"/>
    <w:pPr>
      <w:spacing w:before="240" w:after="60"/>
      <w:outlineLvl w:val="7"/>
    </w:pPr>
    <w:rPr>
      <w:i/>
      <w:iCs/>
    </w:rPr>
  </w:style>
  <w:style w:type="paragraph" w:styleId="Nadpis9">
    <w:name w:val="heading 9"/>
    <w:basedOn w:val="Normln"/>
    <w:next w:val="Normln"/>
    <w:link w:val="Nadpis9Char"/>
    <w:uiPriority w:val="9"/>
    <w:semiHidden/>
    <w:unhideWhenUsed/>
    <w:qFormat/>
    <w:rsid w:val="00FC459D"/>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C459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FC459D"/>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FC459D"/>
    <w:pPr>
      <w:ind w:left="720"/>
      <w:contextualSpacing/>
    </w:pPr>
  </w:style>
  <w:style w:type="paragraph" w:styleId="Textbubliny">
    <w:name w:val="Balloon Text"/>
    <w:basedOn w:val="Normln"/>
    <w:link w:val="TextbublinyChar"/>
    <w:uiPriority w:val="99"/>
    <w:semiHidden/>
    <w:unhideWhenUsed/>
    <w:rsid w:val="00FC459D"/>
    <w:rPr>
      <w:rFonts w:ascii="Tahoma" w:hAnsi="Tahoma" w:cs="Tahoma"/>
      <w:sz w:val="16"/>
      <w:szCs w:val="16"/>
    </w:rPr>
  </w:style>
  <w:style w:type="character" w:customStyle="1" w:styleId="TextbublinyChar">
    <w:name w:val="Text bubliny Char"/>
    <w:basedOn w:val="Standardnpsmoodstavce"/>
    <w:link w:val="Textbubliny"/>
    <w:uiPriority w:val="99"/>
    <w:semiHidden/>
    <w:rsid w:val="00FC459D"/>
    <w:rPr>
      <w:rFonts w:ascii="Tahoma" w:hAnsi="Tahoma" w:cs="Tahoma"/>
      <w:sz w:val="16"/>
      <w:szCs w:val="16"/>
    </w:rPr>
  </w:style>
  <w:style w:type="character" w:customStyle="1" w:styleId="Nadpis1Char">
    <w:name w:val="Nadpis 1 Char"/>
    <w:basedOn w:val="Standardnpsmoodstavce"/>
    <w:link w:val="Nadpis1"/>
    <w:uiPriority w:val="9"/>
    <w:rsid w:val="00FC459D"/>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rsid w:val="003A4E29"/>
    <w:rPr>
      <w:rFonts w:asciiTheme="majorHAnsi" w:eastAsiaTheme="majorEastAsia" w:hAnsiTheme="majorHAnsi"/>
      <w:b/>
      <w:bCs/>
      <w:i/>
      <w:iCs/>
      <w:sz w:val="28"/>
      <w:szCs w:val="28"/>
      <w:lang w:val="cs-CZ"/>
    </w:rPr>
  </w:style>
  <w:style w:type="character" w:customStyle="1" w:styleId="Nadpis3Char">
    <w:name w:val="Nadpis 3 Char"/>
    <w:basedOn w:val="Standardnpsmoodstavce"/>
    <w:link w:val="Nadpis3"/>
    <w:uiPriority w:val="9"/>
    <w:rsid w:val="006E2678"/>
    <w:rPr>
      <w:rFonts w:asciiTheme="majorHAnsi" w:eastAsiaTheme="majorEastAsia" w:hAnsiTheme="majorHAnsi"/>
      <w:b/>
      <w:bCs/>
      <w:sz w:val="28"/>
      <w:szCs w:val="26"/>
      <w:lang w:val="cs-CZ"/>
    </w:rPr>
  </w:style>
  <w:style w:type="character" w:customStyle="1" w:styleId="Nadpis4Char">
    <w:name w:val="Nadpis 4 Char"/>
    <w:basedOn w:val="Standardnpsmoodstavce"/>
    <w:link w:val="Nadpis4"/>
    <w:uiPriority w:val="9"/>
    <w:rsid w:val="00E65CC7"/>
    <w:rPr>
      <w:rFonts w:ascii="Times New Roman" w:hAnsi="Times New Roman"/>
      <w:b/>
      <w:bCs/>
      <w:sz w:val="24"/>
      <w:szCs w:val="28"/>
      <w:lang w:val="cs-CZ"/>
    </w:rPr>
  </w:style>
  <w:style w:type="character" w:customStyle="1" w:styleId="Nadpis5Char">
    <w:name w:val="Nadpis 5 Char"/>
    <w:basedOn w:val="Standardnpsmoodstavce"/>
    <w:link w:val="Nadpis5"/>
    <w:uiPriority w:val="9"/>
    <w:semiHidden/>
    <w:rsid w:val="00FC459D"/>
    <w:rPr>
      <w:b/>
      <w:bCs/>
      <w:i/>
      <w:iCs/>
      <w:sz w:val="26"/>
      <w:szCs w:val="26"/>
    </w:rPr>
  </w:style>
  <w:style w:type="character" w:customStyle="1" w:styleId="Nadpis6Char">
    <w:name w:val="Nadpis 6 Char"/>
    <w:basedOn w:val="Standardnpsmoodstavce"/>
    <w:link w:val="Nadpis6"/>
    <w:uiPriority w:val="9"/>
    <w:semiHidden/>
    <w:rsid w:val="00FC459D"/>
    <w:rPr>
      <w:b/>
      <w:bCs/>
    </w:rPr>
  </w:style>
  <w:style w:type="character" w:customStyle="1" w:styleId="Nadpis7Char">
    <w:name w:val="Nadpis 7 Char"/>
    <w:basedOn w:val="Standardnpsmoodstavce"/>
    <w:link w:val="Nadpis7"/>
    <w:uiPriority w:val="9"/>
    <w:semiHidden/>
    <w:rsid w:val="00FC459D"/>
    <w:rPr>
      <w:sz w:val="24"/>
      <w:szCs w:val="24"/>
    </w:rPr>
  </w:style>
  <w:style w:type="character" w:customStyle="1" w:styleId="Nadpis8Char">
    <w:name w:val="Nadpis 8 Char"/>
    <w:basedOn w:val="Standardnpsmoodstavce"/>
    <w:link w:val="Nadpis8"/>
    <w:uiPriority w:val="9"/>
    <w:semiHidden/>
    <w:rsid w:val="00FC459D"/>
    <w:rPr>
      <w:i/>
      <w:iCs/>
      <w:sz w:val="24"/>
      <w:szCs w:val="24"/>
    </w:rPr>
  </w:style>
  <w:style w:type="character" w:customStyle="1" w:styleId="Nadpis9Char">
    <w:name w:val="Nadpis 9 Char"/>
    <w:basedOn w:val="Standardnpsmoodstavce"/>
    <w:link w:val="Nadpis9"/>
    <w:uiPriority w:val="9"/>
    <w:semiHidden/>
    <w:rsid w:val="00FC459D"/>
    <w:rPr>
      <w:rFonts w:asciiTheme="majorHAnsi" w:eastAsiaTheme="majorEastAsia" w:hAnsiTheme="majorHAnsi"/>
    </w:rPr>
  </w:style>
  <w:style w:type="paragraph" w:styleId="Podtitul">
    <w:name w:val="Subtitle"/>
    <w:basedOn w:val="Normln"/>
    <w:next w:val="Normln"/>
    <w:link w:val="PodtitulChar"/>
    <w:uiPriority w:val="11"/>
    <w:qFormat/>
    <w:rsid w:val="00FC459D"/>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FC459D"/>
    <w:rPr>
      <w:rFonts w:asciiTheme="majorHAnsi" w:eastAsiaTheme="majorEastAsia" w:hAnsiTheme="majorHAnsi"/>
      <w:sz w:val="24"/>
      <w:szCs w:val="24"/>
    </w:rPr>
  </w:style>
  <w:style w:type="character" w:styleId="Siln">
    <w:name w:val="Strong"/>
    <w:basedOn w:val="Standardnpsmoodstavce"/>
    <w:uiPriority w:val="22"/>
    <w:qFormat/>
    <w:rsid w:val="00FC459D"/>
    <w:rPr>
      <w:b/>
      <w:bCs/>
    </w:rPr>
  </w:style>
  <w:style w:type="character" w:styleId="Zvraznn">
    <w:name w:val="Emphasis"/>
    <w:basedOn w:val="Standardnpsmoodstavce"/>
    <w:uiPriority w:val="20"/>
    <w:qFormat/>
    <w:rsid w:val="00FC459D"/>
    <w:rPr>
      <w:rFonts w:asciiTheme="minorHAnsi" w:hAnsiTheme="minorHAnsi"/>
      <w:b/>
      <w:i/>
      <w:iCs/>
    </w:rPr>
  </w:style>
  <w:style w:type="paragraph" w:styleId="Bezmezer">
    <w:name w:val="No Spacing"/>
    <w:basedOn w:val="Normln"/>
    <w:uiPriority w:val="1"/>
    <w:qFormat/>
    <w:rsid w:val="00FC459D"/>
    <w:rPr>
      <w:szCs w:val="32"/>
    </w:rPr>
  </w:style>
  <w:style w:type="paragraph" w:styleId="Citt">
    <w:name w:val="Quote"/>
    <w:basedOn w:val="Normln"/>
    <w:next w:val="Normln"/>
    <w:link w:val="CittChar"/>
    <w:uiPriority w:val="29"/>
    <w:qFormat/>
    <w:rsid w:val="00FC459D"/>
    <w:rPr>
      <w:i/>
    </w:rPr>
  </w:style>
  <w:style w:type="character" w:customStyle="1" w:styleId="CittChar">
    <w:name w:val="Citát Char"/>
    <w:basedOn w:val="Standardnpsmoodstavce"/>
    <w:link w:val="Citt"/>
    <w:uiPriority w:val="29"/>
    <w:rsid w:val="00FC459D"/>
    <w:rPr>
      <w:i/>
      <w:sz w:val="24"/>
      <w:szCs w:val="24"/>
    </w:rPr>
  </w:style>
  <w:style w:type="paragraph" w:styleId="Vrazncitt">
    <w:name w:val="Intense Quote"/>
    <w:basedOn w:val="Normln"/>
    <w:next w:val="Normln"/>
    <w:link w:val="VrazncittChar"/>
    <w:uiPriority w:val="30"/>
    <w:qFormat/>
    <w:rsid w:val="00FC459D"/>
    <w:pPr>
      <w:ind w:left="720" w:right="720"/>
    </w:pPr>
    <w:rPr>
      <w:b/>
      <w:i/>
      <w:szCs w:val="22"/>
    </w:rPr>
  </w:style>
  <w:style w:type="character" w:customStyle="1" w:styleId="VrazncittChar">
    <w:name w:val="Výrazný citát Char"/>
    <w:basedOn w:val="Standardnpsmoodstavce"/>
    <w:link w:val="Vrazncitt"/>
    <w:uiPriority w:val="30"/>
    <w:rsid w:val="00FC459D"/>
    <w:rPr>
      <w:b/>
      <w:i/>
      <w:sz w:val="24"/>
    </w:rPr>
  </w:style>
  <w:style w:type="character" w:styleId="Zdraznnjemn">
    <w:name w:val="Subtle Emphasis"/>
    <w:uiPriority w:val="19"/>
    <w:qFormat/>
    <w:rsid w:val="00FC459D"/>
    <w:rPr>
      <w:i/>
      <w:color w:val="5A5A5A" w:themeColor="text1" w:themeTint="A5"/>
    </w:rPr>
  </w:style>
  <w:style w:type="character" w:styleId="Zdraznnintenzivn">
    <w:name w:val="Intense Emphasis"/>
    <w:basedOn w:val="Standardnpsmoodstavce"/>
    <w:uiPriority w:val="21"/>
    <w:qFormat/>
    <w:rsid w:val="00FC459D"/>
    <w:rPr>
      <w:b/>
      <w:i/>
      <w:sz w:val="24"/>
      <w:szCs w:val="24"/>
      <w:u w:val="single"/>
    </w:rPr>
  </w:style>
  <w:style w:type="character" w:styleId="Odkazjemn">
    <w:name w:val="Subtle Reference"/>
    <w:basedOn w:val="Standardnpsmoodstavce"/>
    <w:uiPriority w:val="31"/>
    <w:qFormat/>
    <w:rsid w:val="00FC459D"/>
    <w:rPr>
      <w:sz w:val="24"/>
      <w:szCs w:val="24"/>
      <w:u w:val="single"/>
    </w:rPr>
  </w:style>
  <w:style w:type="character" w:styleId="Odkazintenzivn">
    <w:name w:val="Intense Reference"/>
    <w:basedOn w:val="Standardnpsmoodstavce"/>
    <w:uiPriority w:val="32"/>
    <w:qFormat/>
    <w:rsid w:val="00FC459D"/>
    <w:rPr>
      <w:b/>
      <w:sz w:val="24"/>
      <w:u w:val="single"/>
    </w:rPr>
  </w:style>
  <w:style w:type="character" w:styleId="Nzevknihy">
    <w:name w:val="Book Title"/>
    <w:basedOn w:val="Standardnpsmoodstavce"/>
    <w:uiPriority w:val="33"/>
    <w:qFormat/>
    <w:rsid w:val="00FC459D"/>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FC459D"/>
    <w:pPr>
      <w:outlineLvl w:val="9"/>
    </w:pPr>
  </w:style>
  <w:style w:type="paragraph" w:styleId="Textpoznpodarou">
    <w:name w:val="footnote text"/>
    <w:basedOn w:val="Normln"/>
    <w:link w:val="TextpoznpodarouChar"/>
    <w:uiPriority w:val="99"/>
    <w:semiHidden/>
    <w:unhideWhenUsed/>
    <w:rsid w:val="000F40B1"/>
    <w:rPr>
      <w:sz w:val="20"/>
      <w:szCs w:val="20"/>
    </w:rPr>
  </w:style>
  <w:style w:type="character" w:customStyle="1" w:styleId="TextpoznpodarouChar">
    <w:name w:val="Text pozn. pod čarou Char"/>
    <w:basedOn w:val="Standardnpsmoodstavce"/>
    <w:link w:val="Textpoznpodarou"/>
    <w:uiPriority w:val="99"/>
    <w:semiHidden/>
    <w:rsid w:val="000F40B1"/>
    <w:rPr>
      <w:sz w:val="20"/>
      <w:szCs w:val="20"/>
    </w:rPr>
  </w:style>
  <w:style w:type="character" w:styleId="Znakapoznpodarou">
    <w:name w:val="footnote reference"/>
    <w:basedOn w:val="Standardnpsmoodstavce"/>
    <w:uiPriority w:val="99"/>
    <w:semiHidden/>
    <w:unhideWhenUsed/>
    <w:rsid w:val="000F40B1"/>
    <w:rPr>
      <w:vertAlign w:val="superscript"/>
    </w:rPr>
  </w:style>
  <w:style w:type="paragraph" w:styleId="Titulek">
    <w:name w:val="caption"/>
    <w:basedOn w:val="Normln"/>
    <w:next w:val="Normln"/>
    <w:uiPriority w:val="35"/>
    <w:unhideWhenUsed/>
    <w:rsid w:val="00FF69A8"/>
    <w:pPr>
      <w:spacing w:after="200"/>
    </w:pPr>
    <w:rPr>
      <w:b/>
      <w:bCs/>
      <w:color w:val="4F81BD" w:themeColor="accent1"/>
      <w:sz w:val="18"/>
      <w:szCs w:val="18"/>
    </w:rPr>
  </w:style>
  <w:style w:type="table" w:styleId="Mkatabulky">
    <w:name w:val="Table Grid"/>
    <w:basedOn w:val="Normlntabulka"/>
    <w:uiPriority w:val="59"/>
    <w:rsid w:val="007A43A7"/>
    <w:pPr>
      <w:spacing w:after="0" w:line="240" w:lineRule="auto"/>
    </w:pPr>
    <w:rPr>
      <w:rFonts w:cstheme="minorBidi"/>
      <w:lang w:val="cs-CZ"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unhideWhenUsed/>
    <w:rsid w:val="00E65CC7"/>
    <w:pPr>
      <w:tabs>
        <w:tab w:val="left" w:pos="480"/>
        <w:tab w:val="right" w:leader="dot" w:pos="9062"/>
      </w:tabs>
      <w:spacing w:after="100"/>
    </w:pPr>
  </w:style>
  <w:style w:type="paragraph" w:styleId="Obsah2">
    <w:name w:val="toc 2"/>
    <w:basedOn w:val="Normln"/>
    <w:next w:val="Normln"/>
    <w:autoRedefine/>
    <w:uiPriority w:val="39"/>
    <w:unhideWhenUsed/>
    <w:rsid w:val="00D56EF6"/>
    <w:pPr>
      <w:tabs>
        <w:tab w:val="left" w:pos="1100"/>
        <w:tab w:val="right" w:leader="dot" w:pos="9062"/>
      </w:tabs>
      <w:spacing w:after="100" w:line="276" w:lineRule="auto"/>
      <w:ind w:left="240"/>
    </w:pPr>
  </w:style>
  <w:style w:type="paragraph" w:styleId="Obsah3">
    <w:name w:val="toc 3"/>
    <w:basedOn w:val="Normln"/>
    <w:next w:val="Normln"/>
    <w:autoRedefine/>
    <w:uiPriority w:val="39"/>
    <w:unhideWhenUsed/>
    <w:rsid w:val="00E65CC7"/>
    <w:pPr>
      <w:spacing w:after="100"/>
      <w:ind w:left="480"/>
    </w:pPr>
  </w:style>
  <w:style w:type="character" w:styleId="Hypertextovodkaz">
    <w:name w:val="Hyperlink"/>
    <w:basedOn w:val="Standardnpsmoodstavce"/>
    <w:uiPriority w:val="99"/>
    <w:unhideWhenUsed/>
    <w:rsid w:val="00E65CC7"/>
    <w:rPr>
      <w:color w:val="0000FF" w:themeColor="hyperlink"/>
      <w:u w:val="single"/>
    </w:rPr>
  </w:style>
  <w:style w:type="paragraph" w:styleId="Zhlav">
    <w:name w:val="header"/>
    <w:basedOn w:val="Normln"/>
    <w:link w:val="ZhlavChar"/>
    <w:uiPriority w:val="99"/>
    <w:semiHidden/>
    <w:unhideWhenUsed/>
    <w:rsid w:val="00E65CC7"/>
    <w:pPr>
      <w:tabs>
        <w:tab w:val="center" w:pos="4536"/>
        <w:tab w:val="right" w:pos="9072"/>
      </w:tabs>
    </w:pPr>
  </w:style>
  <w:style w:type="character" w:customStyle="1" w:styleId="ZhlavChar">
    <w:name w:val="Záhlaví Char"/>
    <w:basedOn w:val="Standardnpsmoodstavce"/>
    <w:link w:val="Zhlav"/>
    <w:uiPriority w:val="99"/>
    <w:semiHidden/>
    <w:rsid w:val="00E65CC7"/>
    <w:rPr>
      <w:rFonts w:ascii="Times New Roman" w:hAnsi="Times New Roman"/>
      <w:sz w:val="24"/>
      <w:szCs w:val="24"/>
      <w:lang w:val="cs-CZ"/>
    </w:rPr>
  </w:style>
  <w:style w:type="paragraph" w:styleId="Zpat">
    <w:name w:val="footer"/>
    <w:basedOn w:val="Normln"/>
    <w:link w:val="ZpatChar"/>
    <w:uiPriority w:val="99"/>
    <w:unhideWhenUsed/>
    <w:rsid w:val="00E65CC7"/>
    <w:pPr>
      <w:tabs>
        <w:tab w:val="center" w:pos="4536"/>
        <w:tab w:val="right" w:pos="9072"/>
      </w:tabs>
    </w:pPr>
  </w:style>
  <w:style w:type="character" w:customStyle="1" w:styleId="ZpatChar">
    <w:name w:val="Zápatí Char"/>
    <w:basedOn w:val="Standardnpsmoodstavce"/>
    <w:link w:val="Zpat"/>
    <w:uiPriority w:val="99"/>
    <w:rsid w:val="00E65CC7"/>
    <w:rPr>
      <w:rFonts w:ascii="Times New Roman" w:hAnsi="Times New Roman"/>
      <w:sz w:val="24"/>
      <w:szCs w:val="24"/>
      <w:lang w:val="cs-CZ"/>
    </w:rPr>
  </w:style>
</w:styles>
</file>

<file path=word/webSettings.xml><?xml version="1.0" encoding="utf-8"?>
<w:webSettings xmlns:r="http://schemas.openxmlformats.org/officeDocument/2006/relationships" xmlns:w="http://schemas.openxmlformats.org/wordprocessingml/2006/main">
  <w:divs>
    <w:div w:id="152793626">
      <w:bodyDiv w:val="1"/>
      <w:marLeft w:val="0"/>
      <w:marRight w:val="0"/>
      <w:marTop w:val="0"/>
      <w:marBottom w:val="0"/>
      <w:divBdr>
        <w:top w:val="none" w:sz="0" w:space="0" w:color="auto"/>
        <w:left w:val="none" w:sz="0" w:space="0" w:color="auto"/>
        <w:bottom w:val="none" w:sz="0" w:space="0" w:color="auto"/>
        <w:right w:val="none" w:sz="0" w:space="0" w:color="auto"/>
      </w:divBdr>
    </w:div>
    <w:div w:id="166869574">
      <w:bodyDiv w:val="1"/>
      <w:marLeft w:val="0"/>
      <w:marRight w:val="0"/>
      <w:marTop w:val="0"/>
      <w:marBottom w:val="0"/>
      <w:divBdr>
        <w:top w:val="none" w:sz="0" w:space="0" w:color="auto"/>
        <w:left w:val="none" w:sz="0" w:space="0" w:color="auto"/>
        <w:bottom w:val="none" w:sz="0" w:space="0" w:color="auto"/>
        <w:right w:val="none" w:sz="0" w:space="0" w:color="auto"/>
      </w:divBdr>
    </w:div>
    <w:div w:id="196815292">
      <w:bodyDiv w:val="1"/>
      <w:marLeft w:val="0"/>
      <w:marRight w:val="0"/>
      <w:marTop w:val="0"/>
      <w:marBottom w:val="0"/>
      <w:divBdr>
        <w:top w:val="none" w:sz="0" w:space="0" w:color="auto"/>
        <w:left w:val="none" w:sz="0" w:space="0" w:color="auto"/>
        <w:bottom w:val="none" w:sz="0" w:space="0" w:color="auto"/>
        <w:right w:val="none" w:sz="0" w:space="0" w:color="auto"/>
      </w:divBdr>
    </w:div>
    <w:div w:id="235210239">
      <w:bodyDiv w:val="1"/>
      <w:marLeft w:val="0"/>
      <w:marRight w:val="0"/>
      <w:marTop w:val="0"/>
      <w:marBottom w:val="0"/>
      <w:divBdr>
        <w:top w:val="none" w:sz="0" w:space="0" w:color="auto"/>
        <w:left w:val="none" w:sz="0" w:space="0" w:color="auto"/>
        <w:bottom w:val="none" w:sz="0" w:space="0" w:color="auto"/>
        <w:right w:val="none" w:sz="0" w:space="0" w:color="auto"/>
      </w:divBdr>
    </w:div>
    <w:div w:id="369648420">
      <w:bodyDiv w:val="1"/>
      <w:marLeft w:val="0"/>
      <w:marRight w:val="0"/>
      <w:marTop w:val="0"/>
      <w:marBottom w:val="0"/>
      <w:divBdr>
        <w:top w:val="none" w:sz="0" w:space="0" w:color="auto"/>
        <w:left w:val="none" w:sz="0" w:space="0" w:color="auto"/>
        <w:bottom w:val="none" w:sz="0" w:space="0" w:color="auto"/>
        <w:right w:val="none" w:sz="0" w:space="0" w:color="auto"/>
      </w:divBdr>
    </w:div>
    <w:div w:id="451753927">
      <w:bodyDiv w:val="1"/>
      <w:marLeft w:val="0"/>
      <w:marRight w:val="0"/>
      <w:marTop w:val="0"/>
      <w:marBottom w:val="0"/>
      <w:divBdr>
        <w:top w:val="none" w:sz="0" w:space="0" w:color="auto"/>
        <w:left w:val="none" w:sz="0" w:space="0" w:color="auto"/>
        <w:bottom w:val="none" w:sz="0" w:space="0" w:color="auto"/>
        <w:right w:val="none" w:sz="0" w:space="0" w:color="auto"/>
      </w:divBdr>
    </w:div>
    <w:div w:id="520751318">
      <w:bodyDiv w:val="1"/>
      <w:marLeft w:val="0"/>
      <w:marRight w:val="0"/>
      <w:marTop w:val="0"/>
      <w:marBottom w:val="0"/>
      <w:divBdr>
        <w:top w:val="none" w:sz="0" w:space="0" w:color="auto"/>
        <w:left w:val="none" w:sz="0" w:space="0" w:color="auto"/>
        <w:bottom w:val="none" w:sz="0" w:space="0" w:color="auto"/>
        <w:right w:val="none" w:sz="0" w:space="0" w:color="auto"/>
      </w:divBdr>
      <w:divsChild>
        <w:div w:id="77374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824057">
      <w:bodyDiv w:val="1"/>
      <w:marLeft w:val="0"/>
      <w:marRight w:val="0"/>
      <w:marTop w:val="0"/>
      <w:marBottom w:val="0"/>
      <w:divBdr>
        <w:top w:val="none" w:sz="0" w:space="0" w:color="auto"/>
        <w:left w:val="none" w:sz="0" w:space="0" w:color="auto"/>
        <w:bottom w:val="none" w:sz="0" w:space="0" w:color="auto"/>
        <w:right w:val="none" w:sz="0" w:space="0" w:color="auto"/>
      </w:divBdr>
    </w:div>
    <w:div w:id="573668181">
      <w:bodyDiv w:val="1"/>
      <w:marLeft w:val="0"/>
      <w:marRight w:val="0"/>
      <w:marTop w:val="0"/>
      <w:marBottom w:val="0"/>
      <w:divBdr>
        <w:top w:val="none" w:sz="0" w:space="0" w:color="auto"/>
        <w:left w:val="none" w:sz="0" w:space="0" w:color="auto"/>
        <w:bottom w:val="none" w:sz="0" w:space="0" w:color="auto"/>
        <w:right w:val="none" w:sz="0" w:space="0" w:color="auto"/>
      </w:divBdr>
    </w:div>
    <w:div w:id="656885795">
      <w:bodyDiv w:val="1"/>
      <w:marLeft w:val="0"/>
      <w:marRight w:val="0"/>
      <w:marTop w:val="0"/>
      <w:marBottom w:val="0"/>
      <w:divBdr>
        <w:top w:val="none" w:sz="0" w:space="0" w:color="auto"/>
        <w:left w:val="none" w:sz="0" w:space="0" w:color="auto"/>
        <w:bottom w:val="none" w:sz="0" w:space="0" w:color="auto"/>
        <w:right w:val="none" w:sz="0" w:space="0" w:color="auto"/>
      </w:divBdr>
    </w:div>
    <w:div w:id="809712012">
      <w:bodyDiv w:val="1"/>
      <w:marLeft w:val="0"/>
      <w:marRight w:val="0"/>
      <w:marTop w:val="0"/>
      <w:marBottom w:val="0"/>
      <w:divBdr>
        <w:top w:val="none" w:sz="0" w:space="0" w:color="auto"/>
        <w:left w:val="none" w:sz="0" w:space="0" w:color="auto"/>
        <w:bottom w:val="none" w:sz="0" w:space="0" w:color="auto"/>
        <w:right w:val="none" w:sz="0" w:space="0" w:color="auto"/>
      </w:divBdr>
    </w:div>
    <w:div w:id="1011759102">
      <w:bodyDiv w:val="1"/>
      <w:marLeft w:val="0"/>
      <w:marRight w:val="0"/>
      <w:marTop w:val="0"/>
      <w:marBottom w:val="0"/>
      <w:divBdr>
        <w:top w:val="none" w:sz="0" w:space="0" w:color="auto"/>
        <w:left w:val="none" w:sz="0" w:space="0" w:color="auto"/>
        <w:bottom w:val="none" w:sz="0" w:space="0" w:color="auto"/>
        <w:right w:val="none" w:sz="0" w:space="0" w:color="auto"/>
      </w:divBdr>
    </w:div>
    <w:div w:id="1198160249">
      <w:bodyDiv w:val="1"/>
      <w:marLeft w:val="0"/>
      <w:marRight w:val="0"/>
      <w:marTop w:val="0"/>
      <w:marBottom w:val="0"/>
      <w:divBdr>
        <w:top w:val="none" w:sz="0" w:space="0" w:color="auto"/>
        <w:left w:val="none" w:sz="0" w:space="0" w:color="auto"/>
        <w:bottom w:val="none" w:sz="0" w:space="0" w:color="auto"/>
        <w:right w:val="none" w:sz="0" w:space="0" w:color="auto"/>
      </w:divBdr>
    </w:div>
    <w:div w:id="1252738360">
      <w:bodyDiv w:val="1"/>
      <w:marLeft w:val="0"/>
      <w:marRight w:val="0"/>
      <w:marTop w:val="0"/>
      <w:marBottom w:val="0"/>
      <w:divBdr>
        <w:top w:val="none" w:sz="0" w:space="0" w:color="auto"/>
        <w:left w:val="none" w:sz="0" w:space="0" w:color="auto"/>
        <w:bottom w:val="none" w:sz="0" w:space="0" w:color="auto"/>
        <w:right w:val="none" w:sz="0" w:space="0" w:color="auto"/>
      </w:divBdr>
    </w:div>
    <w:div w:id="1312174283">
      <w:bodyDiv w:val="1"/>
      <w:marLeft w:val="0"/>
      <w:marRight w:val="0"/>
      <w:marTop w:val="0"/>
      <w:marBottom w:val="0"/>
      <w:divBdr>
        <w:top w:val="none" w:sz="0" w:space="0" w:color="auto"/>
        <w:left w:val="none" w:sz="0" w:space="0" w:color="auto"/>
        <w:bottom w:val="none" w:sz="0" w:space="0" w:color="auto"/>
        <w:right w:val="none" w:sz="0" w:space="0" w:color="auto"/>
      </w:divBdr>
    </w:div>
    <w:div w:id="1334256027">
      <w:bodyDiv w:val="1"/>
      <w:marLeft w:val="0"/>
      <w:marRight w:val="0"/>
      <w:marTop w:val="0"/>
      <w:marBottom w:val="0"/>
      <w:divBdr>
        <w:top w:val="none" w:sz="0" w:space="0" w:color="auto"/>
        <w:left w:val="none" w:sz="0" w:space="0" w:color="auto"/>
        <w:bottom w:val="none" w:sz="0" w:space="0" w:color="auto"/>
        <w:right w:val="none" w:sz="0" w:space="0" w:color="auto"/>
      </w:divBdr>
    </w:div>
    <w:div w:id="1578203666">
      <w:bodyDiv w:val="1"/>
      <w:marLeft w:val="0"/>
      <w:marRight w:val="0"/>
      <w:marTop w:val="0"/>
      <w:marBottom w:val="0"/>
      <w:divBdr>
        <w:top w:val="none" w:sz="0" w:space="0" w:color="auto"/>
        <w:left w:val="none" w:sz="0" w:space="0" w:color="auto"/>
        <w:bottom w:val="none" w:sz="0" w:space="0" w:color="auto"/>
        <w:right w:val="none" w:sz="0" w:space="0" w:color="auto"/>
      </w:divBdr>
    </w:div>
    <w:div w:id="1614895480">
      <w:bodyDiv w:val="1"/>
      <w:marLeft w:val="0"/>
      <w:marRight w:val="0"/>
      <w:marTop w:val="0"/>
      <w:marBottom w:val="0"/>
      <w:divBdr>
        <w:top w:val="none" w:sz="0" w:space="0" w:color="auto"/>
        <w:left w:val="none" w:sz="0" w:space="0" w:color="auto"/>
        <w:bottom w:val="none" w:sz="0" w:space="0" w:color="auto"/>
        <w:right w:val="none" w:sz="0" w:space="0" w:color="auto"/>
      </w:divBdr>
      <w:divsChild>
        <w:div w:id="840046581">
          <w:marLeft w:val="0"/>
          <w:marRight w:val="0"/>
          <w:marTop w:val="0"/>
          <w:marBottom w:val="0"/>
          <w:divBdr>
            <w:top w:val="none" w:sz="0" w:space="0" w:color="auto"/>
            <w:left w:val="none" w:sz="0" w:space="0" w:color="auto"/>
            <w:bottom w:val="none" w:sz="0" w:space="0" w:color="auto"/>
            <w:right w:val="none" w:sz="0" w:space="0" w:color="auto"/>
          </w:divBdr>
        </w:div>
        <w:div w:id="700129153">
          <w:marLeft w:val="0"/>
          <w:marRight w:val="0"/>
          <w:marTop w:val="0"/>
          <w:marBottom w:val="0"/>
          <w:divBdr>
            <w:top w:val="none" w:sz="0" w:space="0" w:color="auto"/>
            <w:left w:val="none" w:sz="0" w:space="0" w:color="auto"/>
            <w:bottom w:val="none" w:sz="0" w:space="0" w:color="auto"/>
            <w:right w:val="none" w:sz="0" w:space="0" w:color="auto"/>
          </w:divBdr>
        </w:div>
        <w:div w:id="475611610">
          <w:marLeft w:val="0"/>
          <w:marRight w:val="0"/>
          <w:marTop w:val="0"/>
          <w:marBottom w:val="0"/>
          <w:divBdr>
            <w:top w:val="none" w:sz="0" w:space="0" w:color="auto"/>
            <w:left w:val="none" w:sz="0" w:space="0" w:color="auto"/>
            <w:bottom w:val="none" w:sz="0" w:space="0" w:color="auto"/>
            <w:right w:val="none" w:sz="0" w:space="0" w:color="auto"/>
          </w:divBdr>
        </w:div>
      </w:divsChild>
    </w:div>
    <w:div w:id="1716157079">
      <w:bodyDiv w:val="1"/>
      <w:marLeft w:val="0"/>
      <w:marRight w:val="0"/>
      <w:marTop w:val="0"/>
      <w:marBottom w:val="0"/>
      <w:divBdr>
        <w:top w:val="none" w:sz="0" w:space="0" w:color="auto"/>
        <w:left w:val="none" w:sz="0" w:space="0" w:color="auto"/>
        <w:bottom w:val="none" w:sz="0" w:space="0" w:color="auto"/>
        <w:right w:val="none" w:sz="0" w:space="0" w:color="auto"/>
      </w:divBdr>
    </w:div>
    <w:div w:id="1732920581">
      <w:bodyDiv w:val="1"/>
      <w:marLeft w:val="0"/>
      <w:marRight w:val="0"/>
      <w:marTop w:val="0"/>
      <w:marBottom w:val="0"/>
      <w:divBdr>
        <w:top w:val="none" w:sz="0" w:space="0" w:color="auto"/>
        <w:left w:val="none" w:sz="0" w:space="0" w:color="auto"/>
        <w:bottom w:val="none" w:sz="0" w:space="0" w:color="auto"/>
        <w:right w:val="none" w:sz="0" w:space="0" w:color="auto"/>
      </w:divBdr>
    </w:div>
    <w:div w:id="1992980398">
      <w:bodyDiv w:val="1"/>
      <w:marLeft w:val="0"/>
      <w:marRight w:val="0"/>
      <w:marTop w:val="0"/>
      <w:marBottom w:val="0"/>
      <w:divBdr>
        <w:top w:val="none" w:sz="0" w:space="0" w:color="auto"/>
        <w:left w:val="none" w:sz="0" w:space="0" w:color="auto"/>
        <w:bottom w:val="none" w:sz="0" w:space="0" w:color="auto"/>
        <w:right w:val="none" w:sz="0" w:space="0" w:color="auto"/>
      </w:divBdr>
    </w:div>
    <w:div w:id="205280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_Temp\MUNISS(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_Temp\MUNISS\MUNIS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explosion val="25"/>
          <c:dLbls>
            <c:dLbl>
              <c:idx val="0"/>
              <c:tx>
                <c:rich>
                  <a:bodyPr/>
                  <a:lstStyle/>
                  <a:p>
                    <a:r>
                      <a:rPr lang="cs-CZ" sz="1000" b="0" i="0" u="none" strike="noStrike" baseline="0"/>
                      <a:t>Zlepšení vnitřní komunikace</a:t>
                    </a:r>
                  </a:p>
                  <a:p>
                    <a:r>
                      <a:rPr lang="en-US"/>
                      <a:t>2</a:t>
                    </a:r>
                    <a:r>
                      <a:rPr lang="cs-CZ"/>
                      <a:t>02 mil. Kč</a:t>
                    </a:r>
                    <a:endParaRPr lang="en-US"/>
                  </a:p>
                </c:rich>
              </c:tx>
              <c:showVal val="1"/>
              <c:showCatName val="1"/>
            </c:dLbl>
            <c:dLbl>
              <c:idx val="1"/>
              <c:tx>
                <c:rich>
                  <a:bodyPr/>
                  <a:lstStyle/>
                  <a:p>
                    <a:r>
                      <a:rPr lang="en-US"/>
                      <a:t>Efektivní vnější komunikace</a:t>
                    </a:r>
                    <a:endParaRPr lang="cs-CZ"/>
                  </a:p>
                  <a:p>
                    <a:r>
                      <a:rPr lang="en-US"/>
                      <a:t>72</a:t>
                    </a:r>
                    <a:r>
                      <a:rPr lang="cs-CZ"/>
                      <a:t> mil. Kč</a:t>
                    </a:r>
                  </a:p>
                </c:rich>
              </c:tx>
              <c:showVal val="1"/>
              <c:showCatName val="1"/>
            </c:dLbl>
            <c:dLbl>
              <c:idx val="2"/>
              <c:tx>
                <c:rich>
                  <a:bodyPr/>
                  <a:lstStyle/>
                  <a:p>
                    <a:r>
                      <a:rPr lang="cs-CZ" sz="1000" b="0" i="0" u="none" strike="noStrike" baseline="0"/>
                      <a:t>Propagace strategického profilu města</a:t>
                    </a:r>
                  </a:p>
                  <a:p>
                    <a:r>
                      <a:rPr lang="en-US"/>
                      <a:t>1</a:t>
                    </a:r>
                    <a:r>
                      <a:rPr lang="cs-CZ"/>
                      <a:t>5 mil. Kč</a:t>
                    </a:r>
                  </a:p>
                </c:rich>
              </c:tx>
              <c:showVal val="1"/>
              <c:showCatName val="1"/>
            </c:dLbl>
            <c:showVal val="1"/>
            <c:showCatName val="1"/>
            <c:showLeaderLines val="1"/>
          </c:dLbls>
          <c:val>
            <c:numRef>
              <c:f>List2!$E$6:$E$8</c:f>
              <c:numCache>
                <c:formatCode>#,##0</c:formatCode>
                <c:ptCount val="3"/>
                <c:pt idx="0">
                  <c:v>202.21968031999995</c:v>
                </c:pt>
                <c:pt idx="1">
                  <c:v>72.042180909999999</c:v>
                </c:pt>
                <c:pt idx="2">
                  <c:v>14.901759</c:v>
                </c:pt>
              </c:numCache>
            </c:numRef>
          </c:val>
        </c:ser>
        <c:dLbls>
          <c:showVal val="1"/>
          <c:showCatName val="1"/>
        </c:dLbls>
        <c:firstSliceAng val="0"/>
      </c:pie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pivotSource>
    <c:name>[MUNISS(1).xlsx]List13!Kontingenční tabulka 12</c:name>
    <c:fmtId val="-1"/>
  </c:pivotSource>
  <c:chart>
    <c:title/>
    <c:pivotFmts>
      <c:pivotFmt>
        <c:idx val="0"/>
        <c:marker>
          <c:symbol val="none"/>
        </c:marker>
      </c:pivotFmt>
      <c:pivotFmt>
        <c:idx val="1"/>
        <c:marker>
          <c:symbol val="none"/>
        </c:marker>
      </c:pivotFmt>
      <c:pivotFmt>
        <c:idx val="2"/>
        <c:marker>
          <c:symbol val="none"/>
        </c:marker>
      </c:pivotFmt>
    </c:pivotFmts>
    <c:plotArea>
      <c:layout/>
      <c:barChart>
        <c:barDir val="col"/>
        <c:grouping val="clustered"/>
        <c:ser>
          <c:idx val="0"/>
          <c:order val="0"/>
          <c:tx>
            <c:strRef>
              <c:f>List13!$B$1</c:f>
              <c:strCache>
                <c:ptCount val="1"/>
                <c:pt idx="0">
                  <c:v>Celkem</c:v>
                </c:pt>
              </c:strCache>
            </c:strRef>
          </c:tx>
          <c:cat>
            <c:strRef>
              <c:f>List13!$A$2:$A$18</c:f>
              <c:strCache>
                <c:ptCount val="16"/>
                <c:pt idx="0">
                  <c:v>1.1.1</c:v>
                </c:pt>
                <c:pt idx="1">
                  <c:v>2.1.1</c:v>
                </c:pt>
                <c:pt idx="2">
                  <c:v>2.1.2</c:v>
                </c:pt>
                <c:pt idx="3">
                  <c:v>2.1.3</c:v>
                </c:pt>
                <c:pt idx="4">
                  <c:v>3.1.1</c:v>
                </c:pt>
                <c:pt idx="5">
                  <c:v>3.1.2</c:v>
                </c:pt>
                <c:pt idx="6">
                  <c:v>3.1.3</c:v>
                </c:pt>
                <c:pt idx="7">
                  <c:v>3.1.4</c:v>
                </c:pt>
                <c:pt idx="8">
                  <c:v>3.1.5</c:v>
                </c:pt>
                <c:pt idx="9">
                  <c:v>3.1.6</c:v>
                </c:pt>
                <c:pt idx="10">
                  <c:v>4.1.1</c:v>
                </c:pt>
                <c:pt idx="11">
                  <c:v>4.1.2</c:v>
                </c:pt>
                <c:pt idx="12">
                  <c:v>5.1.1</c:v>
                </c:pt>
                <c:pt idx="13">
                  <c:v>5.1.2</c:v>
                </c:pt>
                <c:pt idx="14">
                  <c:v>5.2.1</c:v>
                </c:pt>
                <c:pt idx="15">
                  <c:v>5.2.3</c:v>
                </c:pt>
              </c:strCache>
            </c:strRef>
          </c:cat>
          <c:val>
            <c:numRef>
              <c:f>List13!$B$2:$B$18</c:f>
              <c:numCache>
                <c:formatCode>#,##0</c:formatCode>
                <c:ptCount val="16"/>
                <c:pt idx="0">
                  <c:v>2250000</c:v>
                </c:pt>
                <c:pt idx="1">
                  <c:v>45813000</c:v>
                </c:pt>
                <c:pt idx="2">
                  <c:v>44305000</c:v>
                </c:pt>
                <c:pt idx="3">
                  <c:v>7000000</c:v>
                </c:pt>
                <c:pt idx="4">
                  <c:v>81450000</c:v>
                </c:pt>
                <c:pt idx="5">
                  <c:v>672942000</c:v>
                </c:pt>
                <c:pt idx="6">
                  <c:v>543506000</c:v>
                </c:pt>
                <c:pt idx="7">
                  <c:v>3760000</c:v>
                </c:pt>
                <c:pt idx="8">
                  <c:v>457834000</c:v>
                </c:pt>
                <c:pt idx="9">
                  <c:v>347617000</c:v>
                </c:pt>
                <c:pt idx="10">
                  <c:v>110692000</c:v>
                </c:pt>
                <c:pt idx="11">
                  <c:v>801845000</c:v>
                </c:pt>
                <c:pt idx="12">
                  <c:v>46925000</c:v>
                </c:pt>
                <c:pt idx="13">
                  <c:v>875013000</c:v>
                </c:pt>
                <c:pt idx="14">
                  <c:v>1228481000</c:v>
                </c:pt>
                <c:pt idx="15">
                  <c:v>2195982000</c:v>
                </c:pt>
              </c:numCache>
            </c:numRef>
          </c:val>
        </c:ser>
        <c:axId val="72979968"/>
        <c:axId val="72981504"/>
      </c:barChart>
      <c:catAx>
        <c:axId val="72979968"/>
        <c:scaling>
          <c:orientation val="minMax"/>
        </c:scaling>
        <c:axPos val="b"/>
        <c:tickLblPos val="nextTo"/>
        <c:crossAx val="72981504"/>
        <c:crosses val="autoZero"/>
        <c:auto val="1"/>
        <c:lblAlgn val="ctr"/>
        <c:lblOffset val="100"/>
      </c:catAx>
      <c:valAx>
        <c:axId val="72981504"/>
        <c:scaling>
          <c:orientation val="minMax"/>
        </c:scaling>
        <c:axPos val="l"/>
        <c:majorGridlines/>
        <c:numFmt formatCode="#,##0" sourceLinked="1"/>
        <c:tickLblPos val="nextTo"/>
        <c:crossAx val="72979968"/>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pivotSource>
    <c:name>[MUNISS(1).xlsx]List11!Kontingenční tabulka 10</c:name>
    <c:fmtId val="-1"/>
  </c:pivotSource>
  <c:chart>
    <c:autoTitleDeleted val="1"/>
    <c:pivotFmts>
      <c:pivotFmt>
        <c:idx val="0"/>
        <c:marker>
          <c:symbol val="none"/>
        </c:marker>
        <c:dLbl>
          <c:idx val="0"/>
          <c:spPr/>
          <c:txPr>
            <a:bodyPr/>
            <a:lstStyle/>
            <a:p>
              <a:pPr>
                <a:defRPr/>
              </a:pPr>
              <a:endParaRPr lang="cs-CZ"/>
            </a:p>
          </c:txPr>
          <c:showVal val="1"/>
          <c:showCatName val="1"/>
        </c:dLbl>
      </c:pivotFmt>
      <c:pivotFmt>
        <c:idx val="1"/>
        <c:marker>
          <c:symbol val="none"/>
        </c:marker>
      </c:pivotFmt>
      <c:pivotFmt>
        <c:idx val="2"/>
        <c:marker>
          <c:symbol val="none"/>
        </c:marker>
        <c:dLbl>
          <c:idx val="0"/>
          <c:spPr/>
          <c:txPr>
            <a:bodyPr/>
            <a:lstStyle/>
            <a:p>
              <a:pPr>
                <a:defRPr/>
              </a:pPr>
              <a:endParaRPr lang="cs-CZ"/>
            </a:p>
          </c:txPr>
          <c:showVal val="1"/>
          <c:showCatName val="1"/>
        </c:dLbl>
      </c:pivotFmt>
    </c:pivotFmts>
    <c:plotArea>
      <c:layout/>
      <c:pieChart>
        <c:varyColors val="1"/>
        <c:ser>
          <c:idx val="0"/>
          <c:order val="0"/>
          <c:tx>
            <c:strRef>
              <c:f>List11!$B$1</c:f>
              <c:strCache>
                <c:ptCount val="1"/>
                <c:pt idx="0">
                  <c:v>Celkem</c:v>
                </c:pt>
              </c:strCache>
            </c:strRef>
          </c:tx>
          <c:explosion val="25"/>
          <c:dLbls>
            <c:txPr>
              <a:bodyPr/>
              <a:lstStyle/>
              <a:p>
                <a:pPr>
                  <a:defRPr/>
                </a:pPr>
                <a:endParaRPr lang="cs-CZ"/>
              </a:p>
            </c:txPr>
            <c:showVal val="1"/>
            <c:showCatName val="1"/>
            <c:showLeaderLines val="1"/>
          </c:dLbls>
          <c:cat>
            <c:strRef>
              <c:f>List11!$A$2:$A$7</c:f>
              <c:strCache>
                <c:ptCount val="5"/>
                <c:pt idx="0">
                  <c:v>1</c:v>
                </c:pt>
                <c:pt idx="1">
                  <c:v>2</c:v>
                </c:pt>
                <c:pt idx="2">
                  <c:v>3</c:v>
                </c:pt>
                <c:pt idx="3">
                  <c:v>4</c:v>
                </c:pt>
                <c:pt idx="4">
                  <c:v>5</c:v>
                </c:pt>
              </c:strCache>
            </c:strRef>
          </c:cat>
          <c:val>
            <c:numRef>
              <c:f>List11!$B$2:$B$7</c:f>
              <c:numCache>
                <c:formatCode>#,##0</c:formatCode>
                <c:ptCount val="5"/>
                <c:pt idx="0">
                  <c:v>123463851.33</c:v>
                </c:pt>
                <c:pt idx="1">
                  <c:v>569489868.76999998</c:v>
                </c:pt>
                <c:pt idx="2">
                  <c:v>2075276096.0300002</c:v>
                </c:pt>
                <c:pt idx="3">
                  <c:v>876278663.39999938</c:v>
                </c:pt>
                <c:pt idx="4">
                  <c:v>2231927692.71</c:v>
                </c:pt>
              </c:numCache>
            </c:numRef>
          </c:val>
        </c:ser>
        <c:dLbls>
          <c:showVal val="1"/>
          <c:showCatName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pivotSource>
    <c:name>[MUNISS(1).xlsx]List14!Kontingenční tabulka 13</c:name>
    <c:fmtId val="-1"/>
  </c:pivotSource>
  <c:chart>
    <c:title/>
    <c:pivotFmts>
      <c:pivotFmt>
        <c:idx val="0"/>
        <c:marker>
          <c:symbol val="none"/>
        </c:marker>
      </c:pivotFmt>
      <c:pivotFmt>
        <c:idx val="1"/>
        <c:marker>
          <c:symbol val="none"/>
        </c:marker>
      </c:pivotFmt>
      <c:pivotFmt>
        <c:idx val="2"/>
        <c:marker>
          <c:symbol val="none"/>
        </c:marker>
      </c:pivotFmt>
    </c:pivotFmts>
    <c:plotArea>
      <c:layout/>
      <c:barChart>
        <c:barDir val="col"/>
        <c:grouping val="clustered"/>
        <c:ser>
          <c:idx val="0"/>
          <c:order val="0"/>
          <c:tx>
            <c:strRef>
              <c:f>List14!$B$1</c:f>
              <c:strCache>
                <c:ptCount val="1"/>
                <c:pt idx="0">
                  <c:v>Celkem</c:v>
                </c:pt>
              </c:strCache>
            </c:strRef>
          </c:tx>
          <c:cat>
            <c:strRef>
              <c:f>List14!$A$2:$A$16</c:f>
              <c:strCache>
                <c:ptCount val="14"/>
                <c:pt idx="0">
                  <c:v>1.1.1</c:v>
                </c:pt>
                <c:pt idx="1">
                  <c:v>1.1.2</c:v>
                </c:pt>
                <c:pt idx="2">
                  <c:v>1.1.3</c:v>
                </c:pt>
                <c:pt idx="3">
                  <c:v>2.1.3</c:v>
                </c:pt>
                <c:pt idx="4">
                  <c:v>2.1.4</c:v>
                </c:pt>
                <c:pt idx="5">
                  <c:v>3.1.2</c:v>
                </c:pt>
                <c:pt idx="6">
                  <c:v>3.1.3</c:v>
                </c:pt>
                <c:pt idx="7">
                  <c:v>3.1.5</c:v>
                </c:pt>
                <c:pt idx="8">
                  <c:v>3.1.6</c:v>
                </c:pt>
                <c:pt idx="9">
                  <c:v>4.1.1</c:v>
                </c:pt>
                <c:pt idx="10">
                  <c:v>4.1.2</c:v>
                </c:pt>
                <c:pt idx="11">
                  <c:v>5.1.1</c:v>
                </c:pt>
                <c:pt idx="12">
                  <c:v>5.1.2</c:v>
                </c:pt>
                <c:pt idx="13">
                  <c:v>5.2.1</c:v>
                </c:pt>
              </c:strCache>
            </c:strRef>
          </c:cat>
          <c:val>
            <c:numRef>
              <c:f>List14!$B$2:$B$16</c:f>
              <c:numCache>
                <c:formatCode>#,##0</c:formatCode>
                <c:ptCount val="14"/>
                <c:pt idx="0">
                  <c:v>99799363.320000008</c:v>
                </c:pt>
                <c:pt idx="1">
                  <c:v>9122449.9100000001</c:v>
                </c:pt>
                <c:pt idx="2">
                  <c:v>14542038.1</c:v>
                </c:pt>
                <c:pt idx="3">
                  <c:v>341352196.76999974</c:v>
                </c:pt>
                <c:pt idx="4">
                  <c:v>228137672</c:v>
                </c:pt>
                <c:pt idx="5">
                  <c:v>780533417.73999989</c:v>
                </c:pt>
                <c:pt idx="6">
                  <c:v>430930826.59000003</c:v>
                </c:pt>
                <c:pt idx="7">
                  <c:v>571836751.46999919</c:v>
                </c:pt>
                <c:pt idx="8">
                  <c:v>291975100.22999978</c:v>
                </c:pt>
                <c:pt idx="9">
                  <c:v>487877558.30999994</c:v>
                </c:pt>
                <c:pt idx="10">
                  <c:v>388401105.09000003</c:v>
                </c:pt>
                <c:pt idx="11">
                  <c:v>2036801508.1399999</c:v>
                </c:pt>
                <c:pt idx="12">
                  <c:v>52706479.57</c:v>
                </c:pt>
                <c:pt idx="13">
                  <c:v>142419705</c:v>
                </c:pt>
              </c:numCache>
            </c:numRef>
          </c:val>
        </c:ser>
        <c:axId val="72770688"/>
        <c:axId val="72772224"/>
      </c:barChart>
      <c:catAx>
        <c:axId val="72770688"/>
        <c:scaling>
          <c:orientation val="minMax"/>
        </c:scaling>
        <c:axPos val="b"/>
        <c:tickLblPos val="nextTo"/>
        <c:crossAx val="72772224"/>
        <c:crosses val="autoZero"/>
        <c:auto val="1"/>
        <c:lblAlgn val="ctr"/>
        <c:lblOffset val="100"/>
      </c:catAx>
      <c:valAx>
        <c:axId val="72772224"/>
        <c:scaling>
          <c:orientation val="minMax"/>
        </c:scaling>
        <c:axPos val="l"/>
        <c:majorGridlines/>
        <c:numFmt formatCode="#,##0" sourceLinked="1"/>
        <c:tickLblPos val="nextTo"/>
        <c:crossAx val="727706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explosion val="25"/>
          <c:dLbls>
            <c:dLbl>
              <c:idx val="0"/>
              <c:tx>
                <c:rich>
                  <a:bodyPr/>
                  <a:lstStyle/>
                  <a:p>
                    <a:r>
                      <a:rPr lang="cs-CZ" sz="1000" b="0" i="0" u="none" strike="noStrike" baseline="0"/>
                      <a:t>Zlepšení podmínek pro přímé investice</a:t>
                    </a:r>
                    <a:endParaRPr lang="cs-CZ"/>
                  </a:p>
                  <a:p>
                    <a:r>
                      <a:rPr lang="en-US"/>
                      <a:t>46</a:t>
                    </a:r>
                    <a:r>
                      <a:rPr lang="cs-CZ"/>
                      <a:t> mil. Kč</a:t>
                    </a:r>
                  </a:p>
                </c:rich>
              </c:tx>
              <c:showVal val="1"/>
              <c:showCatName val="1"/>
            </c:dLbl>
            <c:dLbl>
              <c:idx val="1"/>
              <c:tx>
                <c:rich>
                  <a:bodyPr/>
                  <a:lstStyle/>
                  <a:p>
                    <a:r>
                      <a:rPr lang="cs-CZ" sz="1000" b="0" i="0" u="none" strike="noStrike" baseline="0"/>
                      <a:t>Příprava brownfields k rozvoji podnikání </a:t>
                    </a:r>
                    <a:endParaRPr lang="cs-CZ"/>
                  </a:p>
                  <a:p>
                    <a:r>
                      <a:rPr lang="en-US"/>
                      <a:t>44</a:t>
                    </a:r>
                    <a:r>
                      <a:rPr lang="cs-CZ"/>
                      <a:t> mil. Kč</a:t>
                    </a:r>
                  </a:p>
                </c:rich>
              </c:tx>
              <c:showVal val="1"/>
              <c:showCatName val="1"/>
            </c:dLbl>
            <c:dLbl>
              <c:idx val="2"/>
              <c:tx>
                <c:rich>
                  <a:bodyPr/>
                  <a:lstStyle/>
                  <a:p>
                    <a:r>
                      <a:rPr lang="cs-CZ" sz="1000" b="0" i="0" u="none" strike="noStrike" baseline="0"/>
                      <a:t>Podpora rozvoje cestovního ruchu </a:t>
                    </a:r>
                    <a:endParaRPr lang="cs-CZ"/>
                  </a:p>
                  <a:p>
                    <a:r>
                      <a:rPr lang="en-US"/>
                      <a:t>386</a:t>
                    </a:r>
                    <a:r>
                      <a:rPr lang="cs-CZ"/>
                      <a:t> mil. Kč</a:t>
                    </a:r>
                    <a:endParaRPr lang="en-US"/>
                  </a:p>
                </c:rich>
              </c:tx>
              <c:showVal val="1"/>
              <c:showCatName val="1"/>
            </c:dLbl>
            <c:dLbl>
              <c:idx val="3"/>
              <c:tx>
                <c:rich>
                  <a:bodyPr/>
                  <a:lstStyle/>
                  <a:p>
                    <a:r>
                      <a:rPr lang="cs-CZ" sz="1000" b="0" i="0" u="none" strike="noStrike" baseline="0"/>
                      <a:t>Využití ekonomického potenciálu letiště</a:t>
                    </a:r>
                    <a:endParaRPr lang="cs-CZ"/>
                  </a:p>
                  <a:p>
                    <a:r>
                      <a:rPr lang="en-US"/>
                      <a:t>228</a:t>
                    </a:r>
                    <a:r>
                      <a:rPr lang="cs-CZ"/>
                      <a:t> mil. Kč</a:t>
                    </a:r>
                    <a:endParaRPr lang="en-US"/>
                  </a:p>
                </c:rich>
              </c:tx>
              <c:showVal val="1"/>
              <c:showCatName val="1"/>
            </c:dLbl>
            <c:showVal val="1"/>
            <c:showCatName val="1"/>
            <c:showLeaderLines val="1"/>
          </c:dLbls>
          <c:val>
            <c:numRef>
              <c:f>List2!$E$11:$E$14</c:f>
              <c:numCache>
                <c:formatCode>#,##0</c:formatCode>
                <c:ptCount val="4"/>
                <c:pt idx="0">
                  <c:v>45.812999999999995</c:v>
                </c:pt>
                <c:pt idx="1">
                  <c:v>44.305</c:v>
                </c:pt>
                <c:pt idx="2">
                  <c:v>385.79858680999973</c:v>
                </c:pt>
                <c:pt idx="3">
                  <c:v>228.13767199999998</c:v>
                </c:pt>
              </c:numCache>
            </c:numRef>
          </c:val>
        </c:ser>
        <c:dLbls>
          <c:showVal val="1"/>
          <c:showCatName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explosion val="25"/>
          <c:dLbls>
            <c:dLbl>
              <c:idx val="0"/>
              <c:tx>
                <c:rich>
                  <a:bodyPr/>
                  <a:lstStyle/>
                  <a:p>
                    <a:r>
                      <a:rPr lang="cs-CZ" sz="1000" b="0" i="0" u="none" strike="noStrike" baseline="0"/>
                      <a:t>Rozvoj variabilní nabídky bydlení</a:t>
                    </a:r>
                    <a:endParaRPr lang="cs-CZ"/>
                  </a:p>
                  <a:p>
                    <a:r>
                      <a:rPr lang="en-US"/>
                      <a:t>524</a:t>
                    </a:r>
                    <a:r>
                      <a:rPr lang="cs-CZ"/>
                      <a:t> mil. Kč</a:t>
                    </a:r>
                    <a:endParaRPr lang="en-US"/>
                  </a:p>
                </c:rich>
              </c:tx>
              <c:showVal val="1"/>
              <c:showCatName val="1"/>
            </c:dLbl>
            <c:dLbl>
              <c:idx val="1"/>
              <c:tx>
                <c:rich>
                  <a:bodyPr/>
                  <a:lstStyle/>
                  <a:p>
                    <a:r>
                      <a:rPr lang="cs-CZ" sz="1000" b="0" i="0" u="none" strike="noStrike" baseline="0"/>
                      <a:t>Podpora nabídky volnočasových aktivit, rekreace a sportu</a:t>
                    </a:r>
                    <a:endParaRPr lang="cs-CZ"/>
                  </a:p>
                  <a:p>
                    <a:r>
                      <a:rPr lang="en-US"/>
                      <a:t>1 703</a:t>
                    </a:r>
                    <a:r>
                      <a:rPr lang="cs-CZ"/>
                      <a:t> mil. Kč</a:t>
                    </a:r>
                    <a:endParaRPr lang="en-US"/>
                  </a:p>
                </c:rich>
              </c:tx>
              <c:showVal val="1"/>
              <c:showCatName val="1"/>
            </c:dLbl>
            <c:dLbl>
              <c:idx val="2"/>
              <c:tx>
                <c:rich>
                  <a:bodyPr/>
                  <a:lstStyle/>
                  <a:p>
                    <a:r>
                      <a:rPr lang="cs-CZ" sz="1000" b="0" i="0" u="none" strike="noStrike" baseline="0"/>
                      <a:t>Podpora rozvoje kulturního vyžití a zachování kulturního dědictví</a:t>
                    </a:r>
                    <a:endParaRPr lang="cs-CZ"/>
                  </a:p>
                  <a:p>
                    <a:r>
                      <a:rPr lang="en-US"/>
                      <a:t>1 465</a:t>
                    </a:r>
                    <a:r>
                      <a:rPr lang="cs-CZ"/>
                      <a:t> mil. Kč</a:t>
                    </a:r>
                    <a:endParaRPr lang="en-US"/>
                  </a:p>
                </c:rich>
              </c:tx>
              <c:showVal val="1"/>
              <c:showCatName val="1"/>
            </c:dLbl>
            <c:dLbl>
              <c:idx val="3"/>
              <c:tx>
                <c:rich>
                  <a:bodyPr/>
                  <a:lstStyle/>
                  <a:p>
                    <a:r>
                      <a:rPr lang="cs-CZ" sz="1000" b="0" i="0" u="none" strike="noStrike" baseline="0"/>
                      <a:t>Zajištění bezpečnosti obyvatel města</a:t>
                    </a:r>
                    <a:endParaRPr lang="cs-CZ"/>
                  </a:p>
                  <a:p>
                    <a:r>
                      <a:rPr lang="en-US"/>
                      <a:t>4</a:t>
                    </a:r>
                    <a:r>
                      <a:rPr lang="cs-CZ"/>
                      <a:t> mil. Kč</a:t>
                    </a:r>
                  </a:p>
                </c:rich>
              </c:tx>
              <c:showVal val="1"/>
              <c:showCatName val="1"/>
            </c:dLbl>
            <c:dLbl>
              <c:idx val="4"/>
              <c:tx>
                <c:rich>
                  <a:bodyPr/>
                  <a:lstStyle/>
                  <a:p>
                    <a:r>
                      <a:rPr lang="cs-CZ" sz="1000" b="0" i="0" u="none" strike="noStrike" baseline="0"/>
                      <a:t>Zlepšení kvality veřejných prostranství</a:t>
                    </a:r>
                    <a:endParaRPr lang="cs-CZ"/>
                  </a:p>
                  <a:p>
                    <a:r>
                      <a:rPr lang="en-US"/>
                      <a:t>1 251</a:t>
                    </a:r>
                    <a:r>
                      <a:rPr lang="cs-CZ"/>
                      <a:t> mil. Kč</a:t>
                    </a:r>
                    <a:endParaRPr lang="en-US"/>
                  </a:p>
                </c:rich>
              </c:tx>
              <c:showVal val="1"/>
              <c:showCatName val="1"/>
            </c:dLbl>
            <c:dLbl>
              <c:idx val="5"/>
              <c:tx>
                <c:rich>
                  <a:bodyPr/>
                  <a:lstStyle/>
                  <a:p>
                    <a:r>
                      <a:rPr lang="cs-CZ" sz="1000" b="0" i="0" u="none" strike="noStrike" baseline="0"/>
                      <a:t>Účinná politika města v sociální a zdravotní oblasti</a:t>
                    </a:r>
                  </a:p>
                  <a:p>
                    <a:r>
                      <a:rPr lang="en-US"/>
                      <a:t>732</a:t>
                    </a:r>
                    <a:r>
                      <a:rPr lang="cs-CZ"/>
                      <a:t> mil. Kč</a:t>
                    </a:r>
                    <a:endParaRPr lang="en-US"/>
                  </a:p>
                </c:rich>
              </c:tx>
              <c:showVal val="1"/>
              <c:showCatName val="1"/>
            </c:dLbl>
            <c:showVal val="1"/>
            <c:showCatName val="1"/>
            <c:showLeaderLines val="1"/>
          </c:dLbls>
          <c:val>
            <c:numRef>
              <c:f>List2!$E$17:$E$22</c:f>
              <c:numCache>
                <c:formatCode>#,##0</c:formatCode>
                <c:ptCount val="6"/>
                <c:pt idx="0">
                  <c:v>524.06293199999948</c:v>
                </c:pt>
                <c:pt idx="1">
                  <c:v>1702.9475757000023</c:v>
                </c:pt>
                <c:pt idx="2">
                  <c:v>1465.1659278099999</c:v>
                </c:pt>
                <c:pt idx="3">
                  <c:v>3.7600000000000002</c:v>
                </c:pt>
                <c:pt idx="4">
                  <c:v>1251.4090670000012</c:v>
                </c:pt>
                <c:pt idx="5">
                  <c:v>731.76147555000068</c:v>
                </c:pt>
              </c:numCache>
            </c:numRef>
          </c:val>
        </c:ser>
        <c:dLbls>
          <c:showVal val="1"/>
          <c:showCatName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cs-CZ"/>
  <c:chart>
    <c:plotArea>
      <c:layout/>
      <c:pieChart>
        <c:varyColors val="1"/>
        <c:ser>
          <c:idx val="0"/>
          <c:order val="0"/>
          <c:explosion val="25"/>
          <c:dLbls>
            <c:dLbl>
              <c:idx val="0"/>
              <c:tx>
                <c:rich>
                  <a:bodyPr/>
                  <a:lstStyle/>
                  <a:p>
                    <a:r>
                      <a:rPr lang="cs-CZ" sz="1000" b="0" i="0" u="none" strike="noStrike" baseline="0"/>
                      <a:t>Zajištění infrastruktury pro výzkum, vývoj a tvorbu inovací</a:t>
                    </a:r>
                    <a:endParaRPr lang="cs-CZ"/>
                  </a:p>
                  <a:p>
                    <a:r>
                      <a:rPr lang="en-US"/>
                      <a:t>26 746</a:t>
                    </a:r>
                    <a:r>
                      <a:rPr lang="cs-CZ"/>
                      <a:t> mil. Kč</a:t>
                    </a:r>
                    <a:endParaRPr lang="en-US"/>
                  </a:p>
                </c:rich>
              </c:tx>
              <c:showVal val="1"/>
              <c:showCatName val="1"/>
            </c:dLbl>
            <c:dLbl>
              <c:idx val="1"/>
              <c:tx>
                <c:rich>
                  <a:bodyPr/>
                  <a:lstStyle/>
                  <a:p>
                    <a:r>
                      <a:rPr lang="cs-CZ" sz="1000" b="0" i="0" u="none" strike="noStrike" baseline="0"/>
                      <a:t>Účinná politika města v oblasti rozvoje lidských zdrojů</a:t>
                    </a:r>
                    <a:endParaRPr lang="cs-CZ"/>
                  </a:p>
                  <a:p>
                    <a:r>
                      <a:rPr lang="en-US"/>
                      <a:t>3 918</a:t>
                    </a:r>
                    <a:r>
                      <a:rPr lang="cs-CZ"/>
                      <a:t> mil. Kč</a:t>
                    </a:r>
                    <a:endParaRPr lang="en-US"/>
                  </a:p>
                </c:rich>
              </c:tx>
              <c:showVal val="1"/>
              <c:showCatName val="1"/>
            </c:dLbl>
            <c:showVal val="1"/>
            <c:showCatName val="1"/>
            <c:showLeaderLines val="1"/>
          </c:dLbls>
          <c:val>
            <c:numRef>
              <c:f>List2!$E$25:$E$26</c:f>
              <c:numCache>
                <c:formatCode>#,##0</c:formatCode>
                <c:ptCount val="2"/>
                <c:pt idx="0">
                  <c:v>26745.852777309981</c:v>
                </c:pt>
                <c:pt idx="1">
                  <c:v>3918.2306225500001</c:v>
                </c:pt>
              </c:numCache>
            </c:numRef>
          </c:val>
        </c:ser>
        <c:dLbls>
          <c:showVal val="1"/>
          <c:showCatName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pieChart>
        <c:varyColors val="1"/>
        <c:ser>
          <c:idx val="0"/>
          <c:order val="0"/>
          <c:explosion val="25"/>
          <c:dLbls>
            <c:dLbl>
              <c:idx val="0"/>
              <c:tx>
                <c:rich>
                  <a:bodyPr/>
                  <a:lstStyle/>
                  <a:p>
                    <a:r>
                      <a:rPr lang="cs-CZ" sz="1000" b="0" i="0" u="none" strike="noStrike" baseline="0"/>
                      <a:t>Zajištění komfortní MHD, IDS</a:t>
                    </a:r>
                  </a:p>
                  <a:p>
                    <a:r>
                      <a:rPr lang="en-US"/>
                      <a:t>2 301</a:t>
                    </a:r>
                    <a:r>
                      <a:rPr lang="cs-CZ"/>
                      <a:t> mil. Kč</a:t>
                    </a:r>
                    <a:endParaRPr lang="en-US"/>
                  </a:p>
                </c:rich>
              </c:tx>
              <c:showVal val="1"/>
              <c:showCatName val="1"/>
            </c:dLbl>
            <c:dLbl>
              <c:idx val="1"/>
              <c:tx>
                <c:rich>
                  <a:bodyPr/>
                  <a:lstStyle/>
                  <a:p>
                    <a:r>
                      <a:rPr lang="cs-CZ" sz="1000" b="0" i="0" u="none" strike="noStrike" baseline="0"/>
                      <a:t>Řešení dopravy, ochrana centra před nadměrnou dopravou, parkování</a:t>
                    </a:r>
                    <a:endParaRPr lang="cs-CZ"/>
                  </a:p>
                  <a:p>
                    <a:r>
                      <a:rPr lang="en-US"/>
                      <a:t>1 099</a:t>
                    </a:r>
                    <a:r>
                      <a:rPr lang="cs-CZ"/>
                      <a:t> mil. Kč</a:t>
                    </a:r>
                    <a:endParaRPr lang="en-US"/>
                  </a:p>
                </c:rich>
              </c:tx>
              <c:showVal val="1"/>
              <c:showCatName val="1"/>
            </c:dLbl>
            <c:dLbl>
              <c:idx val="2"/>
              <c:tx>
                <c:rich>
                  <a:bodyPr/>
                  <a:lstStyle/>
                  <a:p>
                    <a:r>
                      <a:rPr lang="cs-CZ" sz="1000" b="0" i="0" u="none" strike="noStrike" baseline="0"/>
                      <a:t>Nakládání s povrchovými a odpadními vodami</a:t>
                    </a:r>
                    <a:endParaRPr lang="cs-CZ"/>
                  </a:p>
                  <a:p>
                    <a:r>
                      <a:rPr lang="en-US"/>
                      <a:t>1 371</a:t>
                    </a:r>
                    <a:r>
                      <a:rPr lang="cs-CZ"/>
                      <a:t> mil. Kč</a:t>
                    </a:r>
                    <a:endParaRPr lang="en-US"/>
                  </a:p>
                </c:rich>
              </c:tx>
              <c:showVal val="1"/>
              <c:showCatName val="1"/>
            </c:dLbl>
            <c:dLbl>
              <c:idx val="3"/>
              <c:tx>
                <c:rich>
                  <a:bodyPr/>
                  <a:lstStyle/>
                  <a:p>
                    <a:r>
                      <a:rPr lang="cs-CZ" sz="1000" b="0" i="0" u="none" strike="noStrike" baseline="0"/>
                      <a:t>Optimalizace zásobování města energiemi a městského odpadového hospodářství</a:t>
                    </a:r>
                    <a:endParaRPr lang="cs-CZ"/>
                  </a:p>
                  <a:p>
                    <a:r>
                      <a:rPr lang="en-US"/>
                      <a:t>2 207</a:t>
                    </a:r>
                    <a:r>
                      <a:rPr lang="cs-CZ"/>
                      <a:t> mil. Kč</a:t>
                    </a:r>
                    <a:endParaRPr lang="en-US"/>
                  </a:p>
                </c:rich>
              </c:tx>
              <c:showVal val="1"/>
              <c:showCatName val="1"/>
            </c:dLbl>
            <c:showVal val="1"/>
            <c:showCatName val="1"/>
            <c:showLeaderLines val="1"/>
          </c:dLbls>
          <c:val>
            <c:numRef>
              <c:f>(List2!$E$29:$E$30;List2!$E$32:$E$33)</c:f>
              <c:numCache>
                <c:formatCode>#,##0</c:formatCode>
                <c:ptCount val="4"/>
                <c:pt idx="0">
                  <c:v>2301.3312871000012</c:v>
                </c:pt>
                <c:pt idx="1">
                  <c:v>1098.7824996099998</c:v>
                </c:pt>
                <c:pt idx="2">
                  <c:v>1370.9007050000012</c:v>
                </c:pt>
                <c:pt idx="3">
                  <c:v>2207.0619999999999</c:v>
                </c:pt>
              </c:numCache>
            </c:numRef>
          </c:val>
        </c:ser>
        <c:dLbls>
          <c:showVal val="1"/>
          <c:showCatName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pivotSource>
    <c:name>[MUNISS(1).xlsx]List1!Kontingenční tabulka 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dLbl>
          <c:idx val="0"/>
          <c:numFmt formatCode="#,##0" sourceLinked="0"/>
          <c:spPr/>
          <c:txPr>
            <a:bodyPr/>
            <a:lstStyle/>
            <a:p>
              <a:pPr>
                <a:defRPr/>
              </a:pPr>
              <a:endParaRPr lang="cs-CZ"/>
            </a:p>
          </c:txPr>
          <c:showVal val="1"/>
          <c:showCatName val="1"/>
        </c:dLbl>
      </c:pivotFmt>
      <c:pivotFmt>
        <c:idx val="4"/>
        <c:marker>
          <c:symbol val="none"/>
        </c:marker>
        <c:dLbl>
          <c:idx val="0"/>
          <c:numFmt formatCode="#,##0" sourceLinked="0"/>
          <c:spPr/>
          <c:txPr>
            <a:bodyPr/>
            <a:lstStyle/>
            <a:p>
              <a:pPr>
                <a:defRPr/>
              </a:pPr>
              <a:endParaRPr lang="cs-CZ"/>
            </a:p>
          </c:txPr>
          <c:showVal val="1"/>
          <c:showCatName val="1"/>
        </c:dLbl>
      </c:pivotFmt>
    </c:pivotFmts>
    <c:plotArea>
      <c:layout/>
      <c:pieChart>
        <c:varyColors val="1"/>
        <c:ser>
          <c:idx val="0"/>
          <c:order val="0"/>
          <c:tx>
            <c:strRef>
              <c:f>List1!$B$1:$B$2</c:f>
              <c:strCache>
                <c:ptCount val="1"/>
                <c:pt idx="0">
                  <c:v>Součet z Celkové výdaje (v Kč)</c:v>
                </c:pt>
              </c:strCache>
            </c:strRef>
          </c:tx>
          <c:explosion val="25"/>
          <c:dLbls>
            <c:dLbl>
              <c:idx val="0"/>
              <c:tx>
                <c:rich>
                  <a:bodyPr/>
                  <a:lstStyle/>
                  <a:p>
                    <a:r>
                      <a:rPr lang="en-US"/>
                      <a:t>1</a:t>
                    </a:r>
                    <a:r>
                      <a:rPr lang="cs-CZ"/>
                      <a:t>.</a:t>
                    </a:r>
                  </a:p>
                  <a:p>
                    <a:r>
                      <a:rPr lang="en-US"/>
                      <a:t>289 </a:t>
                    </a:r>
                    <a:r>
                      <a:rPr lang="cs-CZ"/>
                      <a:t>mil.</a:t>
                    </a:r>
                    <a:r>
                      <a:rPr lang="cs-CZ" baseline="0"/>
                      <a:t> Kč</a:t>
                    </a:r>
                    <a:endParaRPr lang="en-US"/>
                  </a:p>
                </c:rich>
              </c:tx>
              <c:showVal val="1"/>
              <c:showCatName val="1"/>
            </c:dLbl>
            <c:dLbl>
              <c:idx val="1"/>
              <c:tx>
                <c:rich>
                  <a:bodyPr/>
                  <a:lstStyle/>
                  <a:p>
                    <a:r>
                      <a:rPr lang="en-US"/>
                      <a:t>2</a:t>
                    </a:r>
                    <a:r>
                      <a:rPr lang="cs-CZ"/>
                      <a:t>.</a:t>
                    </a:r>
                  </a:p>
                  <a:p>
                    <a:r>
                      <a:rPr lang="en-US"/>
                      <a:t>704 </a:t>
                    </a:r>
                    <a:r>
                      <a:rPr lang="cs-CZ"/>
                      <a:t>mil. Kč</a:t>
                    </a:r>
                    <a:endParaRPr lang="en-US"/>
                  </a:p>
                </c:rich>
              </c:tx>
              <c:showVal val="1"/>
              <c:showCatName val="1"/>
            </c:dLbl>
            <c:dLbl>
              <c:idx val="2"/>
              <c:tx>
                <c:rich>
                  <a:bodyPr/>
                  <a:lstStyle/>
                  <a:p>
                    <a:r>
                      <a:rPr lang="en-US"/>
                      <a:t>3</a:t>
                    </a:r>
                    <a:r>
                      <a:rPr lang="cs-CZ"/>
                      <a:t>.</a:t>
                    </a:r>
                  </a:p>
                  <a:p>
                    <a:r>
                      <a:rPr lang="en-US"/>
                      <a:t>5 679 </a:t>
                    </a:r>
                    <a:r>
                      <a:rPr lang="cs-CZ"/>
                      <a:t>mil. Kč</a:t>
                    </a:r>
                    <a:endParaRPr lang="en-US"/>
                  </a:p>
                </c:rich>
              </c:tx>
              <c:showVal val="1"/>
              <c:showCatName val="1"/>
            </c:dLbl>
            <c:dLbl>
              <c:idx val="3"/>
              <c:tx>
                <c:rich>
                  <a:bodyPr/>
                  <a:lstStyle/>
                  <a:p>
                    <a:r>
                      <a:rPr lang="en-US"/>
                      <a:t>4</a:t>
                    </a:r>
                    <a:r>
                      <a:rPr lang="cs-CZ"/>
                      <a:t>.</a:t>
                    </a:r>
                  </a:p>
                  <a:p>
                    <a:r>
                      <a:rPr lang="en-US"/>
                      <a:t>30 664</a:t>
                    </a:r>
                    <a:r>
                      <a:rPr lang="cs-CZ"/>
                      <a:t> mil. Kč</a:t>
                    </a:r>
                    <a:endParaRPr lang="en-US"/>
                  </a:p>
                </c:rich>
              </c:tx>
              <c:showVal val="1"/>
              <c:showCatName val="1"/>
            </c:dLbl>
            <c:dLbl>
              <c:idx val="4"/>
              <c:tx>
                <c:rich>
                  <a:bodyPr/>
                  <a:lstStyle/>
                  <a:p>
                    <a:r>
                      <a:rPr lang="en-US"/>
                      <a:t>5</a:t>
                    </a:r>
                    <a:r>
                      <a:rPr lang="cs-CZ"/>
                      <a:t>.</a:t>
                    </a:r>
                  </a:p>
                  <a:p>
                    <a:r>
                      <a:rPr lang="en-US"/>
                      <a:t>6 978</a:t>
                    </a:r>
                    <a:r>
                      <a:rPr lang="cs-CZ"/>
                      <a:t> mil. Kč</a:t>
                    </a:r>
                    <a:endParaRPr lang="en-US"/>
                  </a:p>
                </c:rich>
              </c:tx>
              <c:showVal val="1"/>
              <c:showCatName val="1"/>
            </c:dLbl>
            <c:numFmt formatCode="#,##0" sourceLinked="0"/>
            <c:txPr>
              <a:bodyPr/>
              <a:lstStyle/>
              <a:p>
                <a:pPr>
                  <a:defRPr/>
                </a:pPr>
                <a:endParaRPr lang="cs-CZ"/>
              </a:p>
            </c:txPr>
            <c:showVal val="1"/>
            <c:showCatName val="1"/>
            <c:showLeaderLines val="1"/>
          </c:dLbls>
          <c:cat>
            <c:strRef>
              <c:f>List1!$A$3:$A$8</c:f>
              <c:strCache>
                <c:ptCount val="5"/>
                <c:pt idx="0">
                  <c:v>1</c:v>
                </c:pt>
                <c:pt idx="1">
                  <c:v>2</c:v>
                </c:pt>
                <c:pt idx="2">
                  <c:v>3</c:v>
                </c:pt>
                <c:pt idx="3">
                  <c:v>4</c:v>
                </c:pt>
                <c:pt idx="4">
                  <c:v>5</c:v>
                </c:pt>
              </c:strCache>
            </c:strRef>
          </c:cat>
          <c:val>
            <c:numRef>
              <c:f>List1!$B$3:$B$8</c:f>
              <c:numCache>
                <c:formatCode>General</c:formatCode>
                <c:ptCount val="5"/>
                <c:pt idx="0">
                  <c:v>289163620.22999972</c:v>
                </c:pt>
                <c:pt idx="1">
                  <c:v>704054258.80999935</c:v>
                </c:pt>
                <c:pt idx="2">
                  <c:v>5679106978.0599985</c:v>
                </c:pt>
                <c:pt idx="3">
                  <c:v>30664083399.860001</c:v>
                </c:pt>
                <c:pt idx="4">
                  <c:v>6978076491.71</c:v>
                </c:pt>
              </c:numCache>
            </c:numRef>
          </c:val>
        </c:ser>
        <c:ser>
          <c:idx val="1"/>
          <c:order val="1"/>
          <c:tx>
            <c:strRef>
              <c:f>List1!$C$1:$C$2</c:f>
              <c:strCache>
                <c:ptCount val="1"/>
                <c:pt idx="0">
                  <c:v>Součet z č. cíle</c:v>
                </c:pt>
              </c:strCache>
            </c:strRef>
          </c:tx>
          <c:dLbls>
            <c:showVal val="1"/>
            <c:showCatName val="1"/>
            <c:showLeaderLines val="1"/>
          </c:dLbls>
          <c:cat>
            <c:strRef>
              <c:f>List1!$A$3:$A$8</c:f>
              <c:strCache>
                <c:ptCount val="5"/>
                <c:pt idx="0">
                  <c:v>1</c:v>
                </c:pt>
                <c:pt idx="1">
                  <c:v>2</c:v>
                </c:pt>
                <c:pt idx="2">
                  <c:v>3</c:v>
                </c:pt>
                <c:pt idx="3">
                  <c:v>4</c:v>
                </c:pt>
                <c:pt idx="4">
                  <c:v>5</c:v>
                </c:pt>
              </c:strCache>
            </c:strRef>
          </c:cat>
          <c:val>
            <c:numRef>
              <c:f>List1!$C$3:$C$8</c:f>
              <c:numCache>
                <c:formatCode>General</c:formatCode>
                <c:ptCount val="5"/>
                <c:pt idx="0">
                  <c:v>253</c:v>
                </c:pt>
                <c:pt idx="1">
                  <c:v>399</c:v>
                </c:pt>
                <c:pt idx="2">
                  <c:v>6386</c:v>
                </c:pt>
                <c:pt idx="3">
                  <c:v>4551</c:v>
                </c:pt>
                <c:pt idx="4">
                  <c:v>3128</c:v>
                </c:pt>
              </c:numCache>
            </c:numRef>
          </c:val>
        </c:ser>
        <c:dLbls>
          <c:showVal val="1"/>
          <c:showCatName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pivotSource>
    <c:name>[MUNISS(1).xlsx]List8!Kontingenční tabulka 7</c:name>
    <c:fmtId val="-1"/>
  </c:pivotSource>
  <c:chart>
    <c:autoTitleDeleted val="1"/>
    <c:pivotFmts>
      <c:pivotFmt>
        <c:idx val="0"/>
        <c:marker>
          <c:symbol val="none"/>
        </c:marker>
        <c:dLbl>
          <c:idx val="0"/>
          <c:spPr/>
          <c:txPr>
            <a:bodyPr/>
            <a:lstStyle/>
            <a:p>
              <a:pPr>
                <a:defRPr/>
              </a:pPr>
              <a:endParaRPr lang="cs-CZ"/>
            </a:p>
          </c:txPr>
          <c:showVal val="1"/>
          <c:showCatName val="1"/>
        </c:dLbl>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dLbl>
          <c:idx val="0"/>
          <c:spPr/>
          <c:txPr>
            <a:bodyPr/>
            <a:lstStyle/>
            <a:p>
              <a:pPr>
                <a:defRPr/>
              </a:pPr>
              <a:endParaRPr lang="cs-CZ"/>
            </a:p>
          </c:txPr>
          <c:showVal val="1"/>
          <c:showCatName val="1"/>
        </c:dLbl>
      </c:pivotFmt>
    </c:pivotFmts>
    <c:plotArea>
      <c:layout/>
      <c:pieChart>
        <c:varyColors val="1"/>
        <c:ser>
          <c:idx val="0"/>
          <c:order val="0"/>
          <c:tx>
            <c:strRef>
              <c:f>List8!$B$1</c:f>
              <c:strCache>
                <c:ptCount val="1"/>
                <c:pt idx="0">
                  <c:v>Celkem</c:v>
                </c:pt>
              </c:strCache>
            </c:strRef>
          </c:tx>
          <c:explosion val="25"/>
          <c:dLbls>
            <c:txPr>
              <a:bodyPr/>
              <a:lstStyle/>
              <a:p>
                <a:pPr>
                  <a:defRPr/>
                </a:pPr>
                <a:endParaRPr lang="cs-CZ"/>
              </a:p>
            </c:txPr>
            <c:showVal val="1"/>
            <c:showCatName val="1"/>
            <c:showLeaderLines val="1"/>
          </c:dLbls>
          <c:cat>
            <c:strRef>
              <c:f>List8!$A$2:$A$7</c:f>
              <c:strCache>
                <c:ptCount val="5"/>
                <c:pt idx="0">
                  <c:v>1</c:v>
                </c:pt>
                <c:pt idx="1">
                  <c:v>2</c:v>
                </c:pt>
                <c:pt idx="2">
                  <c:v>3</c:v>
                </c:pt>
                <c:pt idx="3">
                  <c:v>4</c:v>
                </c:pt>
                <c:pt idx="4">
                  <c:v>5</c:v>
                </c:pt>
              </c:strCache>
            </c:strRef>
          </c:cat>
          <c:val>
            <c:numRef>
              <c:f>List8!$B$2:$B$7</c:f>
              <c:numCache>
                <c:formatCode>#,##0</c:formatCode>
                <c:ptCount val="5"/>
                <c:pt idx="0">
                  <c:v>169646807</c:v>
                </c:pt>
                <c:pt idx="1">
                  <c:v>124075012</c:v>
                </c:pt>
                <c:pt idx="2">
                  <c:v>3080032074</c:v>
                </c:pt>
                <c:pt idx="3">
                  <c:v>280379735</c:v>
                </c:pt>
                <c:pt idx="4">
                  <c:v>1086558754</c:v>
                </c:pt>
              </c:numCache>
            </c:numRef>
          </c:val>
        </c:ser>
        <c:dLbls>
          <c:showVal val="1"/>
          <c:showCatName val="1"/>
        </c:dLbls>
        <c:firstSliceAng val="0"/>
      </c:pie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pivotSource>
    <c:name>[MUNISS(1).xlsx]List12!Kontingenční tabulka 11</c:name>
    <c:fmtId val="-1"/>
  </c:pivotSource>
  <c:chart>
    <c:title/>
    <c:pivotFmts>
      <c:pivotFmt>
        <c:idx val="0"/>
        <c:marker>
          <c:symbol val="none"/>
        </c:marker>
      </c:pivotFmt>
      <c:pivotFmt>
        <c:idx val="1"/>
        <c:marker>
          <c:symbol val="none"/>
        </c:marker>
      </c:pivotFmt>
      <c:pivotFmt>
        <c:idx val="2"/>
        <c:marker>
          <c:symbol val="none"/>
        </c:marker>
      </c:pivotFmt>
    </c:pivotFmts>
    <c:plotArea>
      <c:layout/>
      <c:barChart>
        <c:barDir val="col"/>
        <c:grouping val="clustered"/>
        <c:ser>
          <c:idx val="0"/>
          <c:order val="0"/>
          <c:tx>
            <c:strRef>
              <c:f>List12!$B$1</c:f>
              <c:strCache>
                <c:ptCount val="1"/>
                <c:pt idx="0">
                  <c:v>Celkem</c:v>
                </c:pt>
              </c:strCache>
            </c:strRef>
          </c:tx>
          <c:cat>
            <c:strRef>
              <c:f>List12!$A$2:$A$15</c:f>
              <c:strCache>
                <c:ptCount val="13"/>
                <c:pt idx="0">
                  <c:v>1.1.1</c:v>
                </c:pt>
                <c:pt idx="1">
                  <c:v>1.1.2</c:v>
                </c:pt>
                <c:pt idx="2">
                  <c:v>1.1.3</c:v>
                </c:pt>
                <c:pt idx="3">
                  <c:v>2.1.3</c:v>
                </c:pt>
                <c:pt idx="4">
                  <c:v>3.1.1</c:v>
                </c:pt>
                <c:pt idx="5">
                  <c:v>3.1.2</c:v>
                </c:pt>
                <c:pt idx="6">
                  <c:v>3.1.3</c:v>
                </c:pt>
                <c:pt idx="7">
                  <c:v>3.1.5</c:v>
                </c:pt>
                <c:pt idx="8">
                  <c:v>3.1.6</c:v>
                </c:pt>
                <c:pt idx="9">
                  <c:v>4.1.1</c:v>
                </c:pt>
                <c:pt idx="10">
                  <c:v>4.1.2</c:v>
                </c:pt>
                <c:pt idx="11">
                  <c:v>5.1.1</c:v>
                </c:pt>
                <c:pt idx="12">
                  <c:v>5.1.2</c:v>
                </c:pt>
              </c:strCache>
            </c:strRef>
          </c:cat>
          <c:val>
            <c:numRef>
              <c:f>List12!$B$2:$B$15</c:f>
              <c:numCache>
                <c:formatCode>#,##0</c:formatCode>
                <c:ptCount val="13"/>
                <c:pt idx="0">
                  <c:v>100170317</c:v>
                </c:pt>
                <c:pt idx="1">
                  <c:v>62919731</c:v>
                </c:pt>
                <c:pt idx="2">
                  <c:v>6556759</c:v>
                </c:pt>
                <c:pt idx="3">
                  <c:v>124075012</c:v>
                </c:pt>
                <c:pt idx="4">
                  <c:v>463417545</c:v>
                </c:pt>
                <c:pt idx="5">
                  <c:v>871750434</c:v>
                </c:pt>
                <c:pt idx="6">
                  <c:v>769054903</c:v>
                </c:pt>
                <c:pt idx="7">
                  <c:v>757535092</c:v>
                </c:pt>
                <c:pt idx="8">
                  <c:v>218274100</c:v>
                </c:pt>
                <c:pt idx="9">
                  <c:v>51383923</c:v>
                </c:pt>
                <c:pt idx="10">
                  <c:v>228995812</c:v>
                </c:pt>
                <c:pt idx="11">
                  <c:v>884896823</c:v>
                </c:pt>
                <c:pt idx="12">
                  <c:v>201661931</c:v>
                </c:pt>
              </c:numCache>
            </c:numRef>
          </c:val>
        </c:ser>
        <c:axId val="72914816"/>
        <c:axId val="72916352"/>
      </c:barChart>
      <c:catAx>
        <c:axId val="72914816"/>
        <c:scaling>
          <c:orientation val="minMax"/>
        </c:scaling>
        <c:axPos val="b"/>
        <c:tickLblPos val="nextTo"/>
        <c:crossAx val="72916352"/>
        <c:crosses val="autoZero"/>
        <c:auto val="1"/>
        <c:lblAlgn val="ctr"/>
        <c:lblOffset val="100"/>
      </c:catAx>
      <c:valAx>
        <c:axId val="72916352"/>
        <c:scaling>
          <c:orientation val="minMax"/>
        </c:scaling>
        <c:axPos val="l"/>
        <c:majorGridlines/>
        <c:numFmt formatCode="#,##0" sourceLinked="1"/>
        <c:tickLblPos val="nextTo"/>
        <c:crossAx val="7291481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pivotSource>
    <c:name>[MUNISS(1).xlsx]List9!Kontingenční tabulka 8</c:name>
    <c:fmtId val="-1"/>
  </c:pivotSource>
  <c:chart>
    <c:autoTitleDeleted val="1"/>
    <c:pivotFmts>
      <c:pivotFmt>
        <c:idx val="0"/>
        <c:marker>
          <c:symbol val="none"/>
        </c:marker>
        <c:dLbl>
          <c:idx val="0"/>
          <c:spPr/>
          <c:txPr>
            <a:bodyPr/>
            <a:lstStyle/>
            <a:p>
              <a:pPr>
                <a:defRPr/>
              </a:pPr>
              <a:endParaRPr lang="cs-CZ"/>
            </a:p>
          </c:txPr>
          <c:showVal val="1"/>
          <c:showCatName val="1"/>
        </c:dLbl>
      </c:pivotFmt>
      <c:pivotFmt>
        <c:idx val="1"/>
        <c:marker>
          <c:symbol val="none"/>
        </c:marker>
      </c:pivotFmt>
      <c:pivotFmt>
        <c:idx val="2"/>
        <c:marker>
          <c:symbol val="none"/>
        </c:marker>
        <c:dLbl>
          <c:idx val="0"/>
          <c:spPr/>
          <c:txPr>
            <a:bodyPr/>
            <a:lstStyle/>
            <a:p>
              <a:pPr>
                <a:defRPr/>
              </a:pPr>
              <a:endParaRPr lang="cs-CZ"/>
            </a:p>
          </c:txPr>
          <c:showVal val="1"/>
          <c:showCatName val="1"/>
        </c:dLbl>
      </c:pivotFmt>
    </c:pivotFmts>
    <c:plotArea>
      <c:layout/>
      <c:pieChart>
        <c:varyColors val="1"/>
        <c:ser>
          <c:idx val="0"/>
          <c:order val="0"/>
          <c:tx>
            <c:strRef>
              <c:f>List9!$B$1</c:f>
              <c:strCache>
                <c:ptCount val="1"/>
                <c:pt idx="0">
                  <c:v>Celkem</c:v>
                </c:pt>
              </c:strCache>
            </c:strRef>
          </c:tx>
          <c:explosion val="25"/>
          <c:dLbls>
            <c:txPr>
              <a:bodyPr/>
              <a:lstStyle/>
              <a:p>
                <a:pPr>
                  <a:defRPr/>
                </a:pPr>
                <a:endParaRPr lang="cs-CZ"/>
              </a:p>
            </c:txPr>
            <c:showVal val="1"/>
            <c:showCatName val="1"/>
            <c:showLeaderLines val="1"/>
          </c:dLbls>
          <c:cat>
            <c:strRef>
              <c:f>List9!$A$2:$A$7</c:f>
              <c:strCache>
                <c:ptCount val="5"/>
                <c:pt idx="0">
                  <c:v>1</c:v>
                </c:pt>
                <c:pt idx="1">
                  <c:v>2</c:v>
                </c:pt>
                <c:pt idx="2">
                  <c:v>3</c:v>
                </c:pt>
                <c:pt idx="3">
                  <c:v>4</c:v>
                </c:pt>
                <c:pt idx="4">
                  <c:v>5</c:v>
                </c:pt>
              </c:strCache>
            </c:strRef>
          </c:cat>
          <c:val>
            <c:numRef>
              <c:f>List9!$B$2:$B$7</c:f>
              <c:numCache>
                <c:formatCode>#,##0</c:formatCode>
                <c:ptCount val="5"/>
                <c:pt idx="0">
                  <c:v>2250000</c:v>
                </c:pt>
                <c:pt idx="1">
                  <c:v>97118000</c:v>
                </c:pt>
                <c:pt idx="2">
                  <c:v>2107109000</c:v>
                </c:pt>
                <c:pt idx="3">
                  <c:v>912537000</c:v>
                </c:pt>
                <c:pt idx="4">
                  <c:v>4346401000</c:v>
                </c:pt>
              </c:numCache>
            </c:numRef>
          </c:val>
        </c:ser>
        <c:dLbls>
          <c:showVal val="1"/>
          <c:showCatName val="1"/>
        </c:dLbls>
        <c:firstSliceAng val="0"/>
      </c:pieChart>
    </c:plotArea>
    <c:plotVisOnly val="1"/>
    <c:dispBlanksAs val="zero"/>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7C7F6-F58A-41F7-8612-EF085BE2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8580</Words>
  <Characters>50622</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Ondřej Puczok</cp:lastModifiedBy>
  <cp:revision>6</cp:revision>
  <dcterms:created xsi:type="dcterms:W3CDTF">2015-01-26T20:23:00Z</dcterms:created>
  <dcterms:modified xsi:type="dcterms:W3CDTF">2015-01-27T21:11:00Z</dcterms:modified>
</cp:coreProperties>
</file>